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color w:val="auto"/>
          <w:sz w:val="24"/>
          <w:highlight w:val="none"/>
        </w:rPr>
      </w:pPr>
      <w:bookmarkStart w:id="0" w:name="_Toc154202746"/>
      <w:bookmarkStart w:id="1" w:name="_Toc136139478"/>
      <w:bookmarkStart w:id="2" w:name="_Toc136075249"/>
      <w:bookmarkStart w:id="3" w:name="_Toc136060100"/>
      <w:bookmarkStart w:id="4" w:name="_Toc136158153"/>
      <w:bookmarkStart w:id="5" w:name="_Toc136078595"/>
      <w:bookmarkStart w:id="6" w:name="_Toc148066455"/>
      <w:r>
        <w:rPr>
          <w:color w:val="auto"/>
          <w:highlight w:val="none"/>
        </w:rPr>
        <w:drawing>
          <wp:anchor distT="0" distB="0" distL="114300" distR="114300" simplePos="0" relativeHeight="251660288" behindDoc="1" locked="0" layoutInCell="1" allowOverlap="1">
            <wp:simplePos x="0" y="0"/>
            <wp:positionH relativeFrom="column">
              <wp:posOffset>-1848485</wp:posOffset>
            </wp:positionH>
            <wp:positionV relativeFrom="paragraph">
              <wp:posOffset>-910590</wp:posOffset>
            </wp:positionV>
            <wp:extent cx="8359775" cy="2484120"/>
            <wp:effectExtent l="0" t="0" r="3175" b="0"/>
            <wp:wrapNone/>
            <wp:docPr id="3" name="图片 3" descr="说明: 未标题-3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未标题-3 拷贝"/>
                    <pic:cNvPicPr>
                      <a:picLocks noChangeAspect="1" noChangeArrowheads="1"/>
                    </pic:cNvPicPr>
                  </pic:nvPicPr>
                  <pic:blipFill>
                    <a:blip r:embed="rId9">
                      <a:lum bright="34000" contrast="-10000"/>
                      <a:extLst>
                        <a:ext uri="{28A0092B-C50C-407E-A947-70E740481C1C}">
                          <a14:useLocalDpi xmlns:a14="http://schemas.microsoft.com/office/drawing/2010/main" val="0"/>
                        </a:ext>
                      </a:extLst>
                    </a:blip>
                    <a:srcRect/>
                    <a:stretch>
                      <a:fillRect/>
                    </a:stretch>
                  </pic:blipFill>
                  <pic:spPr>
                    <a:xfrm>
                      <a:off x="0" y="0"/>
                      <a:ext cx="8359775" cy="2484120"/>
                    </a:xfrm>
                    <a:prstGeom prst="rect">
                      <a:avLst/>
                    </a:prstGeom>
                    <a:noFill/>
                  </pic:spPr>
                </pic:pic>
              </a:graphicData>
            </a:graphic>
          </wp:anchor>
        </w:drawing>
      </w:r>
      <w:r>
        <w:rPr>
          <w:color w:val="auto"/>
          <w:highlight w:val="none"/>
        </w:rPr>
        <w:drawing>
          <wp:anchor distT="0" distB="0" distL="114300" distR="114300" simplePos="0" relativeHeight="251661312" behindDoc="0" locked="0" layoutInCell="1" allowOverlap="1">
            <wp:simplePos x="0" y="0"/>
            <wp:positionH relativeFrom="column">
              <wp:posOffset>-800100</wp:posOffset>
            </wp:positionH>
            <wp:positionV relativeFrom="paragraph">
              <wp:posOffset>-19050</wp:posOffset>
            </wp:positionV>
            <wp:extent cx="3543300" cy="1054735"/>
            <wp:effectExtent l="0" t="0" r="0" b="0"/>
            <wp:wrapNone/>
            <wp:docPr id="1" name="图片 1" descr="说明: 横式中国南方电网LOGO(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横式中国南方电网LOGO(白底)"/>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43300" cy="1054735"/>
                    </a:xfrm>
                    <a:prstGeom prst="rect">
                      <a:avLst/>
                    </a:prstGeom>
                    <a:noFill/>
                  </pic:spPr>
                </pic:pic>
              </a:graphicData>
            </a:graphic>
          </wp:anchor>
        </w:drawing>
      </w: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before="156" w:beforeLines="50" w:after="156" w:afterLines="50" w:line="360" w:lineRule="auto"/>
        <w:jc w:val="center"/>
        <w:rPr>
          <w:b/>
          <w:color w:val="auto"/>
          <w:sz w:val="44"/>
          <w:highlight w:val="none"/>
        </w:rPr>
      </w:pPr>
      <w:r>
        <w:rPr>
          <w:rFonts w:hint="eastAsia"/>
          <w:b/>
          <w:color w:val="auto"/>
          <w:sz w:val="44"/>
          <w:highlight w:val="none"/>
        </w:rPr>
        <w:t>中国南方电网有限责任公司</w:t>
      </w:r>
    </w:p>
    <w:p>
      <w:pPr>
        <w:spacing w:before="156" w:beforeLines="50" w:after="156" w:afterLines="50" w:line="360" w:lineRule="auto"/>
        <w:jc w:val="center"/>
        <w:rPr>
          <w:b/>
          <w:color w:val="auto"/>
          <w:sz w:val="44"/>
          <w:highlight w:val="none"/>
        </w:rPr>
      </w:pPr>
      <w:r>
        <w:rPr>
          <w:rFonts w:hint="eastAsia"/>
          <w:b/>
          <w:color w:val="auto"/>
          <w:sz w:val="44"/>
          <w:highlight w:val="none"/>
        </w:rPr>
        <w:t>变电站智能远动机送样检测标准</w:t>
      </w:r>
    </w:p>
    <w:p>
      <w:pPr>
        <w:spacing w:before="156" w:beforeLines="50" w:after="156" w:afterLines="50" w:line="360" w:lineRule="auto"/>
        <w:jc w:val="center"/>
        <w:rPr>
          <w:b/>
          <w:color w:val="auto"/>
          <w:sz w:val="44"/>
          <w:highlight w:val="none"/>
        </w:rPr>
      </w:pPr>
      <w:r>
        <w:rPr>
          <w:rFonts w:hint="eastAsia"/>
          <w:b/>
          <w:color w:val="auto"/>
          <w:sz w:val="44"/>
          <w:highlight w:val="none"/>
        </w:rPr>
        <w:t>（</w:t>
      </w:r>
      <w:r>
        <w:rPr>
          <w:rFonts w:hint="eastAsia"/>
          <w:b/>
          <w:color w:val="auto"/>
          <w:sz w:val="44"/>
          <w:highlight w:val="none"/>
          <w:lang w:val="en-US" w:eastAsia="zh-CN"/>
        </w:rPr>
        <w:t>V3.2</w:t>
      </w:r>
      <w:r>
        <w:rPr>
          <w:rFonts w:hint="eastAsia"/>
          <w:b/>
          <w:color w:val="auto"/>
          <w:sz w:val="44"/>
          <w:highlight w:val="none"/>
        </w:rPr>
        <w:t>版）</w:t>
      </w: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before="624" w:beforeLines="200"/>
        <w:jc w:val="center"/>
        <w:rPr>
          <w:rFonts w:ascii="黑体" w:eastAsia="黑体"/>
          <w:b/>
          <w:color w:val="auto"/>
          <w:spacing w:val="20"/>
          <w:w w:val="135"/>
          <w:sz w:val="24"/>
          <w:highlight w:val="none"/>
        </w:rPr>
      </w:pPr>
      <w:r>
        <w:rPr>
          <w:rFonts w:hint="eastAsia" w:ascii="黑体" w:eastAsia="黑体"/>
          <w:b/>
          <w:color w:val="auto"/>
          <w:spacing w:val="20"/>
          <w:w w:val="135"/>
          <w:sz w:val="24"/>
          <w:highlight w:val="none"/>
        </w:rPr>
        <w:t>中国南方电网有限责任公司</w:t>
      </w:r>
    </w:p>
    <w:p>
      <w:pPr>
        <w:spacing w:before="624" w:beforeLines="200"/>
        <w:jc w:val="center"/>
        <w:rPr>
          <w:rFonts w:eastAsia="黑体"/>
          <w:b/>
          <w:color w:val="auto"/>
          <w:sz w:val="28"/>
          <w:highlight w:val="none"/>
        </w:rPr>
      </w:pPr>
      <w:r>
        <w:rPr>
          <w:rFonts w:hint="eastAsia" w:ascii="黑体" w:eastAsia="黑体"/>
          <w:b/>
          <w:color w:val="auto"/>
          <w:spacing w:val="20"/>
          <w:w w:val="135"/>
          <w:sz w:val="24"/>
          <w:highlight w:val="none"/>
        </w:rPr>
        <w:t>20</w:t>
      </w:r>
      <w:r>
        <w:rPr>
          <w:rFonts w:ascii="黑体" w:eastAsia="黑体"/>
          <w:b/>
          <w:color w:val="auto"/>
          <w:spacing w:val="20"/>
          <w:w w:val="135"/>
          <w:sz w:val="24"/>
          <w:highlight w:val="none"/>
        </w:rPr>
        <w:t>2</w:t>
      </w:r>
      <w:r>
        <w:rPr>
          <w:rFonts w:hint="eastAsia" w:ascii="黑体" w:eastAsia="黑体"/>
          <w:b/>
          <w:color w:val="auto"/>
          <w:spacing w:val="20"/>
          <w:w w:val="135"/>
          <w:sz w:val="24"/>
          <w:highlight w:val="none"/>
          <w:lang w:val="en-US" w:eastAsia="zh-CN"/>
        </w:rPr>
        <w:t>3</w:t>
      </w:r>
      <w:bookmarkStart w:id="386" w:name="_GoBack"/>
      <w:bookmarkEnd w:id="386"/>
      <w:r>
        <w:rPr>
          <w:rFonts w:hint="eastAsia" w:ascii="黑体" w:eastAsia="黑体"/>
          <w:b/>
          <w:color w:val="auto"/>
          <w:spacing w:val="20"/>
          <w:w w:val="135"/>
          <w:sz w:val="24"/>
          <w:highlight w:val="none"/>
        </w:rPr>
        <w:t>年</w:t>
      </w:r>
      <w:r>
        <w:rPr>
          <w:rFonts w:hint="eastAsia" w:ascii="黑体" w:eastAsia="黑体"/>
          <w:b/>
          <w:color w:val="auto"/>
          <w:spacing w:val="20"/>
          <w:w w:val="135"/>
          <w:sz w:val="24"/>
          <w:highlight w:val="none"/>
          <w:lang w:val="en-US" w:eastAsia="zh-CN"/>
        </w:rPr>
        <w:t>11</w:t>
      </w:r>
      <w:r>
        <w:rPr>
          <w:rFonts w:hint="eastAsia" w:ascii="黑体" w:eastAsia="黑体"/>
          <w:b/>
          <w:color w:val="auto"/>
          <w:spacing w:val="20"/>
          <w:w w:val="135"/>
          <w:sz w:val="24"/>
          <w:highlight w:val="none"/>
        </w:rPr>
        <w:t>月</w:t>
      </w:r>
    </w:p>
    <w:p>
      <w:pPr>
        <w:spacing w:before="624" w:beforeLines="200"/>
        <w:rPr>
          <w:rFonts w:ascii="黑体" w:eastAsia="黑体"/>
          <w:b/>
          <w:color w:val="auto"/>
          <w:spacing w:val="20"/>
          <w:w w:val="135"/>
          <w:sz w:val="24"/>
          <w:highlight w:val="none"/>
        </w:rPr>
      </w:pPr>
    </w:p>
    <w:p>
      <w:pPr>
        <w:jc w:val="center"/>
        <w:rPr>
          <w:rFonts w:ascii="宋体" w:hAnsi="宋体"/>
          <w:b/>
          <w:color w:val="auto"/>
          <w:sz w:val="32"/>
          <w:highlight w:val="none"/>
        </w:rPr>
        <w:sectPr>
          <w:footerReference r:id="rId3" w:type="default"/>
          <w:footerReference r:id="rId4" w:type="even"/>
          <w:pgSz w:w="11906" w:h="16838"/>
          <w:pgMar w:top="1440" w:right="1800" w:bottom="1440" w:left="1800" w:header="851" w:footer="992" w:gutter="0"/>
          <w:pgNumType w:start="0"/>
          <w:cols w:space="720" w:num="1"/>
          <w:docGrid w:type="lines" w:linePitch="312" w:charSpace="0"/>
        </w:sectPr>
      </w:pPr>
    </w:p>
    <w:p>
      <w:pPr>
        <w:pStyle w:val="212"/>
        <w:spacing w:line="240" w:lineRule="auto"/>
        <w:ind w:left="840"/>
        <w:jc w:val="center"/>
        <w:rPr>
          <w:rFonts w:ascii="黑体" w:hAnsi="黑体" w:eastAsia="黑体"/>
          <w:color w:val="auto"/>
          <w:highlight w:val="none"/>
        </w:rPr>
      </w:pPr>
      <w:r>
        <w:rPr>
          <w:rFonts w:ascii="黑体" w:hAnsi="黑体" w:eastAsia="黑体"/>
          <w:color w:val="auto"/>
          <w:highlight w:val="none"/>
          <w:lang w:val="zh-CN"/>
        </w:rPr>
        <w:t>目录</w:t>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r>
        <w:rPr>
          <w:color w:val="auto"/>
          <w:highlight w:val="none"/>
        </w:rPr>
        <w:fldChar w:fldCharType="begin"/>
      </w:r>
      <w:r>
        <w:rPr>
          <w:color w:val="auto"/>
          <w:highlight w:val="none"/>
        </w:rPr>
        <w:instrText xml:space="preserve"> HYPERLINK \l "_Toc49258127" </w:instrText>
      </w:r>
      <w:r>
        <w:rPr>
          <w:color w:val="auto"/>
          <w:highlight w:val="none"/>
        </w:rPr>
        <w:fldChar w:fldCharType="separate"/>
      </w:r>
      <w:r>
        <w:rPr>
          <w:rStyle w:val="57"/>
          <w:color w:val="auto"/>
          <w:highlight w:val="none"/>
        </w:rPr>
        <w:t>1</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适用范围</w:t>
      </w:r>
      <w:r>
        <w:rPr>
          <w:color w:val="auto"/>
          <w:highlight w:val="none"/>
        </w:rPr>
        <w:tab/>
      </w:r>
      <w:r>
        <w:rPr>
          <w:color w:val="auto"/>
          <w:highlight w:val="none"/>
        </w:rPr>
        <w:fldChar w:fldCharType="begin"/>
      </w:r>
      <w:r>
        <w:rPr>
          <w:color w:val="auto"/>
          <w:highlight w:val="none"/>
        </w:rPr>
        <w:instrText xml:space="preserve"> PAGEREF _Toc49258127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"_Toc49258128" </w:instrText>
      </w:r>
      <w:r>
        <w:rPr>
          <w:color w:val="auto"/>
          <w:highlight w:val="none"/>
        </w:rPr>
        <w:fldChar w:fldCharType="separate"/>
      </w:r>
      <w:r>
        <w:rPr>
          <w:rStyle w:val="57"/>
          <w:color w:val="auto"/>
          <w:highlight w:val="none"/>
        </w:rPr>
        <w:t>2</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检测依据</w:t>
      </w:r>
      <w:r>
        <w:rPr>
          <w:color w:val="auto"/>
          <w:highlight w:val="none"/>
        </w:rPr>
        <w:tab/>
      </w:r>
      <w:r>
        <w:rPr>
          <w:color w:val="auto"/>
          <w:highlight w:val="none"/>
        </w:rPr>
        <w:fldChar w:fldCharType="begin"/>
      </w:r>
      <w:r>
        <w:rPr>
          <w:color w:val="auto"/>
          <w:highlight w:val="none"/>
        </w:rPr>
        <w:instrText xml:space="preserve"> PAGEREF _Toc49258128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"_Toc49258129" </w:instrText>
      </w:r>
      <w:r>
        <w:rPr>
          <w:color w:val="auto"/>
          <w:highlight w:val="none"/>
        </w:rPr>
        <w:fldChar w:fldCharType="separate"/>
      </w:r>
      <w:r>
        <w:rPr>
          <w:rStyle w:val="57"/>
          <w:color w:val="auto"/>
          <w:highlight w:val="none"/>
        </w:rPr>
        <w:t>3</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术语、定义和缩略语</w:t>
      </w:r>
      <w:r>
        <w:rPr>
          <w:color w:val="auto"/>
          <w:highlight w:val="none"/>
        </w:rPr>
        <w:tab/>
      </w:r>
      <w:r>
        <w:rPr>
          <w:color w:val="auto"/>
          <w:highlight w:val="none"/>
        </w:rPr>
        <w:fldChar w:fldCharType="begin"/>
      </w:r>
      <w:r>
        <w:rPr>
          <w:color w:val="auto"/>
          <w:highlight w:val="none"/>
        </w:rPr>
        <w:instrText xml:space="preserve"> PAGEREF _Toc49258129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"_Toc49258130" </w:instrText>
      </w:r>
      <w:r>
        <w:rPr>
          <w:color w:val="auto"/>
          <w:highlight w:val="none"/>
        </w:rPr>
        <w:fldChar w:fldCharType="separate"/>
      </w:r>
      <w:r>
        <w:rPr>
          <w:rStyle w:val="57"/>
          <w:color w:val="auto"/>
          <w:highlight w:val="none"/>
        </w:rPr>
        <w:t>3.1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术语和定义</w:t>
      </w:r>
      <w:r>
        <w:rPr>
          <w:color w:val="auto"/>
          <w:highlight w:val="none"/>
        </w:rPr>
        <w:tab/>
      </w:r>
      <w:r>
        <w:rPr>
          <w:color w:val="auto"/>
          <w:highlight w:val="none"/>
        </w:rPr>
        <w:fldChar w:fldCharType="begin"/>
      </w:r>
      <w:r>
        <w:rPr>
          <w:color w:val="auto"/>
          <w:highlight w:val="none"/>
        </w:rPr>
        <w:instrText xml:space="preserve"> PAGEREF _Toc49258130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"_Toc49258131" </w:instrText>
      </w:r>
      <w:r>
        <w:rPr>
          <w:color w:val="auto"/>
          <w:highlight w:val="none"/>
        </w:rPr>
        <w:fldChar w:fldCharType="separate"/>
      </w:r>
      <w:r>
        <w:rPr>
          <w:rStyle w:val="57"/>
          <w:color w:val="auto"/>
          <w:highlight w:val="none"/>
        </w:rPr>
        <w:t>3.2</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缩略语</w:t>
      </w:r>
      <w:r>
        <w:rPr>
          <w:color w:val="auto"/>
          <w:highlight w:val="none"/>
        </w:rPr>
        <w:tab/>
      </w:r>
      <w:r>
        <w:rPr>
          <w:color w:val="auto"/>
          <w:highlight w:val="none"/>
        </w:rPr>
        <w:fldChar w:fldCharType="begin"/>
      </w:r>
      <w:r>
        <w:rPr>
          <w:color w:val="auto"/>
          <w:highlight w:val="none"/>
        </w:rPr>
        <w:instrText xml:space="preserve"> PAGEREF _Toc49258131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"_Toc49258132" </w:instrText>
      </w:r>
      <w:r>
        <w:rPr>
          <w:color w:val="auto"/>
          <w:highlight w:val="none"/>
        </w:rPr>
        <w:fldChar w:fldCharType="separate"/>
      </w:r>
      <w:r>
        <w:rPr>
          <w:rStyle w:val="57"/>
          <w:color w:val="auto"/>
          <w:highlight w:val="none"/>
        </w:rPr>
        <w:t>4</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送检要求</w:t>
      </w:r>
      <w:r>
        <w:rPr>
          <w:color w:val="auto"/>
          <w:highlight w:val="none"/>
        </w:rPr>
        <w:tab/>
      </w:r>
      <w:r>
        <w:rPr>
          <w:color w:val="auto"/>
          <w:highlight w:val="none"/>
        </w:rPr>
        <w:fldChar w:fldCharType="begin"/>
      </w:r>
      <w:r>
        <w:rPr>
          <w:color w:val="auto"/>
          <w:highlight w:val="none"/>
        </w:rPr>
        <w:instrText xml:space="preserve"> PAGEREF _Toc49258132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"_Toc49258133" </w:instrText>
      </w:r>
      <w:r>
        <w:rPr>
          <w:color w:val="auto"/>
          <w:highlight w:val="none"/>
        </w:rPr>
        <w:fldChar w:fldCharType="separate"/>
      </w:r>
      <w:r>
        <w:rPr>
          <w:rStyle w:val="57"/>
          <w:color w:val="auto"/>
          <w:highlight w:val="none"/>
        </w:rPr>
        <w:t>4.1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厂商资质要求</w:t>
      </w:r>
      <w:r>
        <w:rPr>
          <w:color w:val="auto"/>
          <w:highlight w:val="none"/>
        </w:rPr>
        <w:tab/>
      </w:r>
      <w:r>
        <w:rPr>
          <w:color w:val="auto"/>
          <w:highlight w:val="none"/>
        </w:rPr>
        <w:fldChar w:fldCharType="begin"/>
      </w:r>
      <w:r>
        <w:rPr>
          <w:color w:val="auto"/>
          <w:highlight w:val="none"/>
        </w:rPr>
        <w:instrText xml:space="preserve"> PAGEREF _Toc49258133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"_Toc49258134" </w:instrText>
      </w:r>
      <w:r>
        <w:rPr>
          <w:color w:val="auto"/>
          <w:highlight w:val="none"/>
        </w:rPr>
        <w:fldChar w:fldCharType="separate"/>
      </w:r>
      <w:r>
        <w:rPr>
          <w:rStyle w:val="57"/>
          <w:color w:val="auto"/>
          <w:highlight w:val="none"/>
        </w:rPr>
        <w:t>4.2</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样品配置及包装要求</w:t>
      </w:r>
      <w:r>
        <w:rPr>
          <w:color w:val="auto"/>
          <w:highlight w:val="none"/>
        </w:rPr>
        <w:tab/>
      </w:r>
      <w:r>
        <w:rPr>
          <w:color w:val="auto"/>
          <w:highlight w:val="none"/>
        </w:rPr>
        <w:fldChar w:fldCharType="begin"/>
      </w:r>
      <w:r>
        <w:rPr>
          <w:color w:val="auto"/>
          <w:highlight w:val="none"/>
        </w:rPr>
        <w:instrText xml:space="preserve"> PAGEREF _Toc49258134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"_Toc49258135" </w:instrText>
      </w:r>
      <w:r>
        <w:rPr>
          <w:color w:val="auto"/>
          <w:highlight w:val="none"/>
        </w:rPr>
        <w:fldChar w:fldCharType="separate"/>
      </w:r>
      <w:r>
        <w:rPr>
          <w:rStyle w:val="57"/>
          <w:color w:val="auto"/>
          <w:highlight w:val="none"/>
        </w:rPr>
        <w:t>4.3</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送检设备信息登记要求</w:t>
      </w:r>
      <w:r>
        <w:rPr>
          <w:color w:val="auto"/>
          <w:highlight w:val="none"/>
        </w:rPr>
        <w:tab/>
      </w:r>
      <w:r>
        <w:rPr>
          <w:color w:val="auto"/>
          <w:highlight w:val="none"/>
        </w:rPr>
        <w:fldChar w:fldCharType="begin"/>
      </w:r>
      <w:r>
        <w:rPr>
          <w:color w:val="auto"/>
          <w:highlight w:val="none"/>
        </w:rPr>
        <w:instrText xml:space="preserve"> PAGEREF _Toc49258135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"_Toc49258136" </w:instrText>
      </w:r>
      <w:r>
        <w:rPr>
          <w:color w:val="auto"/>
          <w:highlight w:val="none"/>
        </w:rPr>
        <w:fldChar w:fldCharType="separate"/>
      </w:r>
      <w:r>
        <w:rPr>
          <w:rStyle w:val="57"/>
          <w:color w:val="auto"/>
          <w:highlight w:val="none"/>
        </w:rPr>
        <w:t>5</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检测设备要求</w:t>
      </w:r>
      <w:r>
        <w:rPr>
          <w:color w:val="auto"/>
          <w:highlight w:val="none"/>
        </w:rPr>
        <w:tab/>
      </w:r>
      <w:r>
        <w:rPr>
          <w:color w:val="auto"/>
          <w:highlight w:val="none"/>
        </w:rPr>
        <w:fldChar w:fldCharType="begin"/>
      </w:r>
      <w:r>
        <w:rPr>
          <w:color w:val="auto"/>
          <w:highlight w:val="none"/>
        </w:rPr>
        <w:instrText xml:space="preserve"> PAGEREF _Toc49258136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"_Toc49258137" </w:instrText>
      </w:r>
      <w:r>
        <w:rPr>
          <w:color w:val="auto"/>
          <w:highlight w:val="none"/>
        </w:rPr>
        <w:fldChar w:fldCharType="separate"/>
      </w:r>
      <w:r>
        <w:rPr>
          <w:rStyle w:val="57"/>
          <w:color w:val="auto"/>
          <w:highlight w:val="none"/>
        </w:rPr>
        <w:t>6</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判定原则</w:t>
      </w:r>
      <w:r>
        <w:rPr>
          <w:color w:val="auto"/>
          <w:highlight w:val="none"/>
        </w:rPr>
        <w:tab/>
      </w:r>
      <w:r>
        <w:rPr>
          <w:color w:val="auto"/>
          <w:highlight w:val="none"/>
        </w:rPr>
        <w:fldChar w:fldCharType="begin"/>
      </w:r>
      <w:r>
        <w:rPr>
          <w:color w:val="auto"/>
          <w:highlight w:val="none"/>
        </w:rPr>
        <w:instrText xml:space="preserve"> PAGEREF _Toc49258137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"_Toc49258138" </w:instrText>
      </w:r>
      <w:r>
        <w:rPr>
          <w:color w:val="auto"/>
          <w:highlight w:val="none"/>
        </w:rPr>
        <w:fldChar w:fldCharType="separate"/>
      </w:r>
      <w:r>
        <w:rPr>
          <w:rStyle w:val="57"/>
          <w:color w:val="auto"/>
          <w:highlight w:val="none"/>
        </w:rPr>
        <w:t>7</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检验项目</w:t>
      </w:r>
      <w:r>
        <w:rPr>
          <w:color w:val="auto"/>
          <w:highlight w:val="none"/>
        </w:rPr>
        <w:tab/>
      </w:r>
      <w:r>
        <w:rPr>
          <w:color w:val="auto"/>
          <w:highlight w:val="none"/>
        </w:rPr>
        <w:fldChar w:fldCharType="begin"/>
      </w:r>
      <w:r>
        <w:rPr>
          <w:color w:val="auto"/>
          <w:highlight w:val="none"/>
        </w:rPr>
        <w:instrText xml:space="preserve"> PAGEREF _Toc49258138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"_Toc49258139" </w:instrText>
      </w:r>
      <w:r>
        <w:rPr>
          <w:color w:val="auto"/>
          <w:highlight w:val="none"/>
        </w:rPr>
        <w:fldChar w:fldCharType="separate"/>
      </w:r>
      <w:r>
        <w:rPr>
          <w:rStyle w:val="57"/>
          <w:color w:val="auto"/>
          <w:highlight w:val="none"/>
        </w:rPr>
        <w:t>7.1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文件和配置检查</w:t>
      </w:r>
      <w:r>
        <w:rPr>
          <w:color w:val="auto"/>
          <w:highlight w:val="none"/>
        </w:rPr>
        <w:tab/>
      </w:r>
      <w:r>
        <w:rPr>
          <w:color w:val="auto"/>
          <w:highlight w:val="none"/>
        </w:rPr>
        <w:fldChar w:fldCharType="begin"/>
      </w:r>
      <w:r>
        <w:rPr>
          <w:color w:val="auto"/>
          <w:highlight w:val="none"/>
        </w:rPr>
        <w:instrText xml:space="preserve"> PAGEREF _Toc49258139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"_Toc49258140" </w:instrText>
      </w:r>
      <w:r>
        <w:rPr>
          <w:color w:val="auto"/>
          <w:highlight w:val="none"/>
        </w:rPr>
        <w:fldChar w:fldCharType="separate"/>
      </w:r>
      <w:r>
        <w:rPr>
          <w:rStyle w:val="57"/>
          <w:color w:val="auto"/>
          <w:highlight w:val="none"/>
        </w:rPr>
        <w:t>7.2</w:t>
      </w:r>
      <w:r>
        <w:rPr>
          <w:rFonts w:asciiTheme="minorHAnsi" w:hAnsiTheme="minorHAnsi" w:eastAsiaTheme="minorEastAsia" w:cstheme="minorBidi"/>
          <w:smallCaps w:val="0"/>
          <w:color w:val="auto"/>
          <w:sz w:val="21"/>
          <w:szCs w:val="22"/>
          <w:highlight w:val="none"/>
        </w:rPr>
        <w:tab/>
      </w:r>
      <w:r>
        <w:rPr>
          <w:rStyle w:val="57"/>
          <w:rFonts w:hint="eastAsia" w:ascii="宋体" w:hAnsi="宋体"/>
          <w:color w:val="auto"/>
          <w:highlight w:val="none"/>
        </w:rPr>
        <w:t>设备信息检验</w:t>
      </w:r>
      <w:r>
        <w:rPr>
          <w:rStyle w:val="57"/>
          <w:rFonts w:hint="eastAsia"/>
          <w:color w:val="auto"/>
          <w:highlight w:val="none"/>
        </w:rPr>
        <w:t>（考察项）</w:t>
      </w:r>
      <w:r>
        <w:rPr>
          <w:color w:val="auto"/>
          <w:highlight w:val="none"/>
        </w:rPr>
        <w:tab/>
      </w:r>
      <w:r>
        <w:rPr>
          <w:color w:val="auto"/>
          <w:highlight w:val="none"/>
        </w:rPr>
        <w:fldChar w:fldCharType="begin"/>
      </w:r>
      <w:r>
        <w:rPr>
          <w:color w:val="auto"/>
          <w:highlight w:val="none"/>
        </w:rPr>
        <w:instrText xml:space="preserve"> PAGEREF _Toc49258140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"_Toc49258141" </w:instrText>
      </w:r>
      <w:r>
        <w:rPr>
          <w:color w:val="auto"/>
          <w:highlight w:val="none"/>
        </w:rPr>
        <w:fldChar w:fldCharType="separate"/>
      </w:r>
      <w:r>
        <w:rPr>
          <w:rStyle w:val="57"/>
          <w:color w:val="auto"/>
          <w:highlight w:val="none"/>
        </w:rPr>
        <w:t>7.3</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计量功能检验</w:t>
      </w:r>
      <w:r>
        <w:rPr>
          <w:color w:val="auto"/>
          <w:highlight w:val="none"/>
        </w:rPr>
        <w:tab/>
      </w:r>
      <w:r>
        <w:rPr>
          <w:color w:val="auto"/>
          <w:highlight w:val="none"/>
        </w:rPr>
        <w:fldChar w:fldCharType="begin"/>
      </w:r>
      <w:r>
        <w:rPr>
          <w:color w:val="auto"/>
          <w:highlight w:val="none"/>
        </w:rPr>
        <w:instrText xml:space="preserve"> PAGEREF _Toc49258141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"_Toc49258142" </w:instrText>
      </w:r>
      <w:r>
        <w:rPr>
          <w:color w:val="auto"/>
          <w:highlight w:val="none"/>
        </w:rPr>
        <w:fldChar w:fldCharType="separate"/>
      </w:r>
      <w:r>
        <w:rPr>
          <w:rStyle w:val="57"/>
          <w:color w:val="auto"/>
          <w:highlight w:val="none"/>
        </w:rPr>
        <w:t>7.4</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相量数据集中器功能检验</w:t>
      </w:r>
      <w:r>
        <w:rPr>
          <w:color w:val="auto"/>
          <w:highlight w:val="none"/>
        </w:rPr>
        <w:tab/>
      </w:r>
      <w:r>
        <w:rPr>
          <w:color w:val="auto"/>
          <w:highlight w:val="none"/>
        </w:rPr>
        <w:fldChar w:fldCharType="begin"/>
      </w:r>
      <w:r>
        <w:rPr>
          <w:color w:val="auto"/>
          <w:highlight w:val="none"/>
        </w:rPr>
        <w:instrText xml:space="preserve"> PAGEREF _Toc49258142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"_Toc49258143" </w:instrText>
      </w:r>
      <w:r>
        <w:rPr>
          <w:color w:val="auto"/>
          <w:highlight w:val="none"/>
        </w:rPr>
        <w:fldChar w:fldCharType="separate"/>
      </w:r>
      <w:r>
        <w:rPr>
          <w:rStyle w:val="57"/>
          <w:color w:val="auto"/>
          <w:highlight w:val="none"/>
        </w:rPr>
        <w:t>7.5</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告警直传功能检验</w:t>
      </w:r>
      <w:r>
        <w:rPr>
          <w:color w:val="auto"/>
          <w:highlight w:val="none"/>
        </w:rPr>
        <w:tab/>
      </w:r>
      <w:r>
        <w:rPr>
          <w:color w:val="auto"/>
          <w:highlight w:val="none"/>
        </w:rPr>
        <w:fldChar w:fldCharType="begin"/>
      </w:r>
      <w:r>
        <w:rPr>
          <w:color w:val="auto"/>
          <w:highlight w:val="none"/>
        </w:rPr>
        <w:instrText xml:space="preserve"> PAGEREF _Toc49258143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"_Toc49258144" </w:instrText>
      </w:r>
      <w:r>
        <w:rPr>
          <w:color w:val="auto"/>
          <w:highlight w:val="none"/>
        </w:rPr>
        <w:fldChar w:fldCharType="separate"/>
      </w:r>
      <w:r>
        <w:rPr>
          <w:rStyle w:val="57"/>
          <w:color w:val="auto"/>
          <w:highlight w:val="none"/>
        </w:rPr>
        <w:t>7.6</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在线监测功能检验</w:t>
      </w:r>
      <w:r>
        <w:rPr>
          <w:color w:val="auto"/>
          <w:highlight w:val="none"/>
        </w:rPr>
        <w:tab/>
      </w:r>
      <w:r>
        <w:rPr>
          <w:color w:val="auto"/>
          <w:highlight w:val="none"/>
        </w:rPr>
        <w:fldChar w:fldCharType="begin"/>
      </w:r>
      <w:r>
        <w:rPr>
          <w:color w:val="auto"/>
          <w:highlight w:val="none"/>
        </w:rPr>
        <w:instrText xml:space="preserve"> PAGEREF _Toc49258144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"_Toc49258145" </w:instrText>
      </w:r>
      <w:r>
        <w:rPr>
          <w:color w:val="auto"/>
          <w:highlight w:val="none"/>
        </w:rPr>
        <w:fldChar w:fldCharType="separate"/>
      </w:r>
      <w:r>
        <w:rPr>
          <w:rStyle w:val="57"/>
          <w:color w:val="auto"/>
          <w:highlight w:val="none"/>
        </w:rPr>
        <w:t>7.7</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远程浏览功能检验</w:t>
      </w:r>
      <w:r>
        <w:rPr>
          <w:color w:val="auto"/>
          <w:highlight w:val="none"/>
        </w:rPr>
        <w:tab/>
      </w:r>
      <w:r>
        <w:rPr>
          <w:color w:val="auto"/>
          <w:highlight w:val="none"/>
        </w:rPr>
        <w:fldChar w:fldCharType="begin"/>
      </w:r>
      <w:r>
        <w:rPr>
          <w:color w:val="auto"/>
          <w:highlight w:val="none"/>
        </w:rPr>
        <w:instrText xml:space="preserve"> PAGEREF _Toc49258145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"_Toc49258146" </w:instrText>
      </w:r>
      <w:r>
        <w:rPr>
          <w:color w:val="auto"/>
          <w:highlight w:val="none"/>
        </w:rPr>
        <w:fldChar w:fldCharType="separate"/>
      </w:r>
      <w:r>
        <w:rPr>
          <w:rStyle w:val="57"/>
          <w:color w:val="auto"/>
          <w:highlight w:val="none"/>
        </w:rPr>
        <w:t>7.8</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源端维护功能检验</w:t>
      </w:r>
      <w:r>
        <w:rPr>
          <w:color w:val="auto"/>
          <w:highlight w:val="none"/>
        </w:rPr>
        <w:tab/>
      </w:r>
      <w:r>
        <w:rPr>
          <w:color w:val="auto"/>
          <w:highlight w:val="none"/>
        </w:rPr>
        <w:fldChar w:fldCharType="begin"/>
      </w:r>
      <w:r>
        <w:rPr>
          <w:color w:val="auto"/>
          <w:highlight w:val="none"/>
        </w:rPr>
        <w:instrText xml:space="preserve"> PAGEREF _Toc49258146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"_Toc49258147" </w:instrText>
      </w:r>
      <w:r>
        <w:rPr>
          <w:color w:val="auto"/>
          <w:highlight w:val="none"/>
        </w:rPr>
        <w:fldChar w:fldCharType="separate"/>
      </w:r>
      <w:r>
        <w:rPr>
          <w:rStyle w:val="57"/>
          <w:color w:val="auto"/>
          <w:highlight w:val="none"/>
        </w:rPr>
        <w:t>7.9</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顺序控制功能检验</w:t>
      </w:r>
      <w:r>
        <w:rPr>
          <w:color w:val="auto"/>
          <w:highlight w:val="none"/>
        </w:rPr>
        <w:tab/>
      </w:r>
      <w:r>
        <w:rPr>
          <w:color w:val="auto"/>
          <w:highlight w:val="none"/>
        </w:rPr>
        <w:fldChar w:fldCharType="begin"/>
      </w:r>
      <w:r>
        <w:rPr>
          <w:color w:val="auto"/>
          <w:highlight w:val="none"/>
        </w:rPr>
        <w:instrText xml:space="preserve"> PAGEREF _Toc49258147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"_Toc49258148" </w:instrText>
      </w:r>
      <w:r>
        <w:rPr>
          <w:color w:val="auto"/>
          <w:highlight w:val="none"/>
        </w:rPr>
        <w:fldChar w:fldCharType="separate"/>
      </w:r>
      <w:r>
        <w:rPr>
          <w:rStyle w:val="57"/>
          <w:color w:val="auto"/>
          <w:highlight w:val="none"/>
        </w:rPr>
        <w:t>7.10</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电压无功控制功能检验</w:t>
      </w:r>
      <w:r>
        <w:rPr>
          <w:color w:val="auto"/>
          <w:highlight w:val="none"/>
        </w:rPr>
        <w:tab/>
      </w:r>
      <w:r>
        <w:rPr>
          <w:color w:val="auto"/>
          <w:highlight w:val="none"/>
        </w:rPr>
        <w:fldChar w:fldCharType="begin"/>
      </w:r>
      <w:r>
        <w:rPr>
          <w:color w:val="auto"/>
          <w:highlight w:val="none"/>
        </w:rPr>
        <w:instrText xml:space="preserve"> PAGEREF _Toc49258148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"_Toc49258149" </w:instrText>
      </w:r>
      <w:r>
        <w:rPr>
          <w:color w:val="auto"/>
          <w:highlight w:val="none"/>
        </w:rPr>
        <w:fldChar w:fldCharType="separate"/>
      </w:r>
      <w:r>
        <w:rPr>
          <w:rStyle w:val="57"/>
          <w:color w:val="auto"/>
          <w:highlight w:val="none"/>
        </w:rPr>
        <w:t>7.11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监控终端功能检验</w:t>
      </w:r>
      <w:r>
        <w:rPr>
          <w:color w:val="auto"/>
          <w:highlight w:val="none"/>
        </w:rPr>
        <w:tab/>
      </w:r>
      <w:r>
        <w:rPr>
          <w:color w:val="auto"/>
          <w:highlight w:val="none"/>
        </w:rPr>
        <w:fldChar w:fldCharType="begin"/>
      </w:r>
      <w:r>
        <w:rPr>
          <w:color w:val="auto"/>
          <w:highlight w:val="none"/>
        </w:rPr>
        <w:instrText xml:space="preserve"> PAGEREF _Toc49258149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"_Toc49258150" </w:instrText>
      </w:r>
      <w:r>
        <w:rPr>
          <w:color w:val="auto"/>
          <w:highlight w:val="none"/>
        </w:rPr>
        <w:fldChar w:fldCharType="separate"/>
      </w:r>
      <w:r>
        <w:rPr>
          <w:rStyle w:val="57"/>
          <w:color w:val="auto"/>
          <w:highlight w:val="none"/>
        </w:rPr>
        <w:t>7.12</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防误闭锁功能检验</w:t>
      </w:r>
      <w:r>
        <w:rPr>
          <w:color w:val="auto"/>
          <w:highlight w:val="none"/>
        </w:rPr>
        <w:tab/>
      </w:r>
      <w:r>
        <w:rPr>
          <w:color w:val="auto"/>
          <w:highlight w:val="none"/>
        </w:rPr>
        <w:fldChar w:fldCharType="begin"/>
      </w:r>
      <w:r>
        <w:rPr>
          <w:color w:val="auto"/>
          <w:highlight w:val="none"/>
        </w:rPr>
        <w:instrText xml:space="preserve"> PAGEREF _Toc49258150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"_Toc49258151" </w:instrText>
      </w:r>
      <w:r>
        <w:rPr>
          <w:color w:val="auto"/>
          <w:highlight w:val="none"/>
        </w:rPr>
        <w:fldChar w:fldCharType="separate"/>
      </w:r>
      <w:r>
        <w:rPr>
          <w:rStyle w:val="57"/>
          <w:color w:val="auto"/>
          <w:highlight w:val="none"/>
        </w:rPr>
        <w:t>7.13</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对时和时间管理功能检验</w:t>
      </w:r>
      <w:r>
        <w:rPr>
          <w:color w:val="auto"/>
          <w:highlight w:val="none"/>
        </w:rPr>
        <w:tab/>
      </w:r>
      <w:r>
        <w:rPr>
          <w:color w:val="auto"/>
          <w:highlight w:val="none"/>
        </w:rPr>
        <w:fldChar w:fldCharType="begin"/>
      </w:r>
      <w:r>
        <w:rPr>
          <w:color w:val="auto"/>
          <w:highlight w:val="none"/>
        </w:rPr>
        <w:instrText xml:space="preserve"> PAGEREF _Toc49258151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"_Toc49258152" </w:instrText>
      </w:r>
      <w:r>
        <w:rPr>
          <w:color w:val="auto"/>
          <w:highlight w:val="none"/>
        </w:rPr>
        <w:fldChar w:fldCharType="separate"/>
      </w:r>
      <w:r>
        <w:rPr>
          <w:rStyle w:val="57"/>
          <w:color w:val="auto"/>
          <w:highlight w:val="none"/>
        </w:rPr>
        <w:t>7.14</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冗余功能检验</w:t>
      </w:r>
      <w:r>
        <w:rPr>
          <w:color w:val="auto"/>
          <w:highlight w:val="none"/>
        </w:rPr>
        <w:tab/>
      </w:r>
      <w:r>
        <w:rPr>
          <w:color w:val="auto"/>
          <w:highlight w:val="none"/>
        </w:rPr>
        <w:fldChar w:fldCharType="begin"/>
      </w:r>
      <w:r>
        <w:rPr>
          <w:color w:val="auto"/>
          <w:highlight w:val="none"/>
        </w:rPr>
        <w:instrText xml:space="preserve"> PAGEREF _Toc49258152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"_Toc49258153" </w:instrText>
      </w:r>
      <w:r>
        <w:rPr>
          <w:color w:val="auto"/>
          <w:highlight w:val="none"/>
        </w:rPr>
        <w:fldChar w:fldCharType="separate"/>
      </w:r>
      <w:r>
        <w:rPr>
          <w:rStyle w:val="57"/>
          <w:color w:val="auto"/>
          <w:highlight w:val="none"/>
        </w:rPr>
        <w:t>7.15</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通道监视功能检验</w:t>
      </w:r>
      <w:r>
        <w:rPr>
          <w:color w:val="auto"/>
          <w:highlight w:val="none"/>
        </w:rPr>
        <w:tab/>
      </w:r>
      <w:r>
        <w:rPr>
          <w:color w:val="auto"/>
          <w:highlight w:val="none"/>
        </w:rPr>
        <w:fldChar w:fldCharType="begin"/>
      </w:r>
      <w:r>
        <w:rPr>
          <w:color w:val="auto"/>
          <w:highlight w:val="none"/>
        </w:rPr>
        <w:instrText xml:space="preserve"> PAGEREF _Toc49258153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"_Toc49258154" </w:instrText>
      </w:r>
      <w:r>
        <w:rPr>
          <w:color w:val="auto"/>
          <w:highlight w:val="none"/>
        </w:rPr>
        <w:fldChar w:fldCharType="separate"/>
      </w:r>
      <w:r>
        <w:rPr>
          <w:rStyle w:val="57"/>
          <w:color w:val="auto"/>
          <w:highlight w:val="none"/>
        </w:rPr>
        <w:t>7.16</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自检和日志功能检验</w:t>
      </w:r>
      <w:r>
        <w:rPr>
          <w:color w:val="auto"/>
          <w:highlight w:val="none"/>
        </w:rPr>
        <w:tab/>
      </w:r>
      <w:r>
        <w:rPr>
          <w:color w:val="auto"/>
          <w:highlight w:val="none"/>
        </w:rPr>
        <w:fldChar w:fldCharType="begin"/>
      </w:r>
      <w:r>
        <w:rPr>
          <w:color w:val="auto"/>
          <w:highlight w:val="none"/>
        </w:rPr>
        <w:instrText xml:space="preserve"> PAGEREF _Toc49258154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"_Toc49258155" </w:instrText>
      </w:r>
      <w:r>
        <w:rPr>
          <w:color w:val="auto"/>
          <w:highlight w:val="none"/>
        </w:rPr>
        <w:fldChar w:fldCharType="separate"/>
      </w:r>
      <w:r>
        <w:rPr>
          <w:rStyle w:val="57"/>
          <w:color w:val="auto"/>
          <w:highlight w:val="none"/>
        </w:rPr>
        <w:t>7.17</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性能指标检验</w:t>
      </w:r>
      <w:r>
        <w:rPr>
          <w:color w:val="auto"/>
          <w:highlight w:val="none"/>
        </w:rPr>
        <w:tab/>
      </w:r>
      <w:r>
        <w:rPr>
          <w:color w:val="auto"/>
          <w:highlight w:val="none"/>
        </w:rPr>
        <w:fldChar w:fldCharType="begin"/>
      </w:r>
      <w:r>
        <w:rPr>
          <w:color w:val="auto"/>
          <w:highlight w:val="none"/>
        </w:rPr>
        <w:instrText xml:space="preserve"> PAGEREF _Toc49258155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"_Toc49258156" </w:instrText>
      </w:r>
      <w:r>
        <w:rPr>
          <w:color w:val="auto"/>
          <w:highlight w:val="none"/>
        </w:rPr>
        <w:fldChar w:fldCharType="separate"/>
      </w:r>
      <w:r>
        <w:rPr>
          <w:rStyle w:val="57"/>
          <w:color w:val="auto"/>
          <w:highlight w:val="none"/>
        </w:rPr>
        <w:t>7.18</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规约一致性检验</w:t>
      </w:r>
      <w:r>
        <w:rPr>
          <w:color w:val="auto"/>
          <w:highlight w:val="none"/>
        </w:rPr>
        <w:tab/>
      </w:r>
      <w:r>
        <w:rPr>
          <w:color w:val="auto"/>
          <w:highlight w:val="none"/>
        </w:rPr>
        <w:fldChar w:fldCharType="begin"/>
      </w:r>
      <w:r>
        <w:rPr>
          <w:color w:val="auto"/>
          <w:highlight w:val="none"/>
        </w:rPr>
        <w:instrText xml:space="preserve"> PAGEREF _Toc49258156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"_Toc49258157" </w:instrText>
      </w:r>
      <w:r>
        <w:rPr>
          <w:color w:val="auto"/>
          <w:highlight w:val="none"/>
        </w:rPr>
        <w:fldChar w:fldCharType="separate"/>
      </w:r>
      <w:r>
        <w:rPr>
          <w:rStyle w:val="57"/>
          <w:color w:val="auto"/>
          <w:highlight w:val="none"/>
        </w:rPr>
        <w:t>7.19</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电源影响检验</w:t>
      </w:r>
      <w:r>
        <w:rPr>
          <w:color w:val="auto"/>
          <w:highlight w:val="none"/>
        </w:rPr>
        <w:tab/>
      </w:r>
      <w:r>
        <w:rPr>
          <w:color w:val="auto"/>
          <w:highlight w:val="none"/>
        </w:rPr>
        <w:fldChar w:fldCharType="begin"/>
      </w:r>
      <w:r>
        <w:rPr>
          <w:color w:val="auto"/>
          <w:highlight w:val="none"/>
        </w:rPr>
        <w:instrText xml:space="preserve"> PAGEREF _Toc49258157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"_Toc49258158" </w:instrText>
      </w:r>
      <w:r>
        <w:rPr>
          <w:color w:val="auto"/>
          <w:highlight w:val="none"/>
        </w:rPr>
        <w:fldChar w:fldCharType="separate"/>
      </w:r>
      <w:r>
        <w:rPr>
          <w:rStyle w:val="57"/>
          <w:color w:val="auto"/>
          <w:highlight w:val="none"/>
        </w:rPr>
        <w:t>7.20</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绝缘性能检验</w:t>
      </w:r>
      <w:r>
        <w:rPr>
          <w:color w:val="auto"/>
          <w:highlight w:val="none"/>
        </w:rPr>
        <w:tab/>
      </w:r>
      <w:r>
        <w:rPr>
          <w:color w:val="auto"/>
          <w:highlight w:val="none"/>
        </w:rPr>
        <w:fldChar w:fldCharType="begin"/>
      </w:r>
      <w:r>
        <w:rPr>
          <w:color w:val="auto"/>
          <w:highlight w:val="none"/>
        </w:rPr>
        <w:instrText xml:space="preserve"> PAGEREF _Toc49258158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"_Toc49258159" </w:instrText>
      </w:r>
      <w:r>
        <w:rPr>
          <w:color w:val="auto"/>
          <w:highlight w:val="none"/>
        </w:rPr>
        <w:fldChar w:fldCharType="separate"/>
      </w:r>
      <w:r>
        <w:rPr>
          <w:rStyle w:val="57"/>
          <w:color w:val="auto"/>
          <w:highlight w:val="none"/>
        </w:rPr>
        <w:t>7.21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气候环境检验</w:t>
      </w:r>
      <w:r>
        <w:rPr>
          <w:color w:val="auto"/>
          <w:highlight w:val="none"/>
        </w:rPr>
        <w:tab/>
      </w:r>
      <w:r>
        <w:rPr>
          <w:color w:val="auto"/>
          <w:highlight w:val="none"/>
        </w:rPr>
        <w:fldChar w:fldCharType="begin"/>
      </w:r>
      <w:r>
        <w:rPr>
          <w:color w:val="auto"/>
          <w:highlight w:val="none"/>
        </w:rPr>
        <w:instrText xml:space="preserve"> PAGEREF _Toc49258159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"_Toc49258160" </w:instrText>
      </w:r>
      <w:r>
        <w:rPr>
          <w:color w:val="auto"/>
          <w:highlight w:val="none"/>
        </w:rPr>
        <w:fldChar w:fldCharType="separate"/>
      </w:r>
      <w:r>
        <w:rPr>
          <w:rStyle w:val="57"/>
          <w:color w:val="auto"/>
          <w:highlight w:val="none"/>
        </w:rPr>
        <w:t>7.22</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机械性能试验</w:t>
      </w:r>
      <w:r>
        <w:rPr>
          <w:color w:val="auto"/>
          <w:highlight w:val="none"/>
        </w:rPr>
        <w:tab/>
      </w:r>
      <w:r>
        <w:rPr>
          <w:color w:val="auto"/>
          <w:highlight w:val="none"/>
        </w:rPr>
        <w:fldChar w:fldCharType="begin"/>
      </w:r>
      <w:r>
        <w:rPr>
          <w:color w:val="auto"/>
          <w:highlight w:val="none"/>
        </w:rPr>
        <w:instrText xml:space="preserve"> PAGEREF _Toc49258160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"_Toc49258161" </w:instrText>
      </w:r>
      <w:r>
        <w:rPr>
          <w:color w:val="auto"/>
          <w:highlight w:val="none"/>
        </w:rPr>
        <w:fldChar w:fldCharType="separate"/>
      </w:r>
      <w:r>
        <w:rPr>
          <w:rStyle w:val="57"/>
          <w:color w:val="auto"/>
          <w:highlight w:val="none"/>
        </w:rPr>
        <w:t>7.23</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电磁兼容检验</w:t>
      </w:r>
      <w:r>
        <w:rPr>
          <w:color w:val="auto"/>
          <w:highlight w:val="none"/>
        </w:rPr>
        <w:tab/>
      </w:r>
      <w:r>
        <w:rPr>
          <w:color w:val="auto"/>
          <w:highlight w:val="none"/>
        </w:rPr>
        <w:fldChar w:fldCharType="begin"/>
      </w:r>
      <w:r>
        <w:rPr>
          <w:color w:val="auto"/>
          <w:highlight w:val="none"/>
        </w:rPr>
        <w:instrText xml:space="preserve"> PAGEREF _Toc49258161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"_Toc49258162" </w:instrText>
      </w:r>
      <w:r>
        <w:rPr>
          <w:color w:val="auto"/>
          <w:highlight w:val="none"/>
        </w:rPr>
        <w:fldChar w:fldCharType="separate"/>
      </w:r>
      <w:r>
        <w:rPr>
          <w:rStyle w:val="57"/>
          <w:color w:val="auto"/>
          <w:highlight w:val="none"/>
        </w:rPr>
        <w:t>7.24</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长期运行稳定性试验</w:t>
      </w:r>
      <w:r>
        <w:rPr>
          <w:color w:val="auto"/>
          <w:highlight w:val="none"/>
        </w:rPr>
        <w:tab/>
      </w:r>
      <w:r>
        <w:rPr>
          <w:color w:val="auto"/>
          <w:highlight w:val="none"/>
        </w:rPr>
        <w:fldChar w:fldCharType="begin"/>
      </w:r>
      <w:r>
        <w:rPr>
          <w:color w:val="auto"/>
          <w:highlight w:val="none"/>
        </w:rPr>
        <w:instrText xml:space="preserve"> PAGEREF _Toc49258162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"_Toc49258163" </w:instrText>
      </w:r>
      <w:r>
        <w:rPr>
          <w:color w:val="auto"/>
          <w:highlight w:val="none"/>
        </w:rPr>
        <w:fldChar w:fldCharType="separate"/>
      </w:r>
      <w:r>
        <w:rPr>
          <w:rStyle w:val="57"/>
          <w:color w:val="auto"/>
          <w:highlight w:val="none"/>
        </w:rPr>
        <w:t>7.25</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可靠性试验（考察项）</w:t>
      </w:r>
      <w:r>
        <w:rPr>
          <w:color w:val="auto"/>
          <w:highlight w:val="none"/>
        </w:rPr>
        <w:tab/>
      </w:r>
      <w:r>
        <w:rPr>
          <w:color w:val="auto"/>
          <w:highlight w:val="none"/>
        </w:rPr>
        <w:fldChar w:fldCharType="begin"/>
      </w:r>
      <w:r>
        <w:rPr>
          <w:color w:val="auto"/>
          <w:highlight w:val="none"/>
        </w:rPr>
        <w:instrText xml:space="preserve"> PAGEREF _Toc49258163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"_Toc49258164" </w:instrText>
      </w:r>
      <w:r>
        <w:rPr>
          <w:color w:val="auto"/>
          <w:highlight w:val="none"/>
        </w:rPr>
        <w:fldChar w:fldCharType="separate"/>
      </w:r>
      <w:r>
        <w:rPr>
          <w:rStyle w:val="57"/>
          <w:color w:val="auto"/>
          <w:highlight w:val="none"/>
        </w:rPr>
        <w:t>8</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检验项目分类</w:t>
      </w:r>
      <w:r>
        <w:rPr>
          <w:color w:val="auto"/>
          <w:highlight w:val="none"/>
        </w:rPr>
        <w:tab/>
      </w:r>
      <w:r>
        <w:rPr>
          <w:color w:val="auto"/>
          <w:highlight w:val="none"/>
        </w:rPr>
        <w:fldChar w:fldCharType="begin"/>
      </w:r>
      <w:r>
        <w:rPr>
          <w:color w:val="auto"/>
          <w:highlight w:val="none"/>
        </w:rPr>
        <w:instrText xml:space="preserve"> PAGEREF _Toc49258164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35"/>
        <w:tabs>
          <w:tab w:val="left" w:pos="420"/>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"_Toc49258165" </w:instrText>
      </w:r>
      <w:r>
        <w:rPr>
          <w:color w:val="auto"/>
          <w:highlight w:val="none"/>
        </w:rPr>
        <w:fldChar w:fldCharType="separate"/>
      </w:r>
      <w:r>
        <w:rPr>
          <w:rStyle w:val="57"/>
          <w:color w:val="auto"/>
          <w:highlight w:val="none"/>
        </w:rPr>
        <w:t>9</w:t>
      </w:r>
      <w:r>
        <w:rPr>
          <w:rFonts w:asciiTheme="minorHAnsi" w:hAnsiTheme="minorHAnsi" w:eastAsiaTheme="minorEastAsia" w:cstheme="minorBidi"/>
          <w:b w:val="0"/>
          <w:bCs w:val="0"/>
          <w:caps w:val="0"/>
          <w:color w:val="auto"/>
          <w:sz w:val="21"/>
          <w:szCs w:val="22"/>
          <w:highlight w:val="none"/>
        </w:rPr>
        <w:tab/>
      </w:r>
      <w:r>
        <w:rPr>
          <w:rStyle w:val="57"/>
          <w:rFonts w:hint="eastAsia"/>
          <w:color w:val="auto"/>
          <w:highlight w:val="none"/>
        </w:rPr>
        <w:t>检验方法</w:t>
      </w:r>
      <w:r>
        <w:rPr>
          <w:color w:val="auto"/>
          <w:highlight w:val="none"/>
        </w:rPr>
        <w:tab/>
      </w:r>
      <w:r>
        <w:rPr>
          <w:color w:val="auto"/>
          <w:highlight w:val="none"/>
        </w:rPr>
        <w:fldChar w:fldCharType="begin"/>
      </w:r>
      <w:r>
        <w:rPr>
          <w:color w:val="auto"/>
          <w:highlight w:val="none"/>
        </w:rPr>
        <w:instrText xml:space="preserve"> PAGEREF _Toc49258165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"_Toc49258166" </w:instrText>
      </w:r>
      <w:r>
        <w:rPr>
          <w:color w:val="auto"/>
          <w:highlight w:val="none"/>
        </w:rPr>
        <w:fldChar w:fldCharType="separate"/>
      </w:r>
      <w:r>
        <w:rPr>
          <w:rStyle w:val="57"/>
          <w:color w:val="auto"/>
          <w:highlight w:val="none"/>
        </w:rPr>
        <w:t>9.1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文件和配置检查</w:t>
      </w:r>
      <w:r>
        <w:rPr>
          <w:color w:val="auto"/>
          <w:highlight w:val="none"/>
        </w:rPr>
        <w:tab/>
      </w:r>
      <w:r>
        <w:rPr>
          <w:color w:val="auto"/>
          <w:highlight w:val="none"/>
        </w:rPr>
        <w:fldChar w:fldCharType="begin"/>
      </w:r>
      <w:r>
        <w:rPr>
          <w:color w:val="auto"/>
          <w:highlight w:val="none"/>
        </w:rPr>
        <w:instrText xml:space="preserve"> PAGEREF _Toc49258166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"_Toc49258167" </w:instrText>
      </w:r>
      <w:r>
        <w:rPr>
          <w:color w:val="auto"/>
          <w:highlight w:val="none"/>
        </w:rPr>
        <w:fldChar w:fldCharType="separate"/>
      </w:r>
      <w:r>
        <w:rPr>
          <w:rStyle w:val="57"/>
          <w:color w:val="auto"/>
          <w:highlight w:val="none"/>
        </w:rPr>
        <w:t>9.2</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送检设备信息检验</w:t>
      </w:r>
      <w:r>
        <w:rPr>
          <w:color w:val="auto"/>
          <w:highlight w:val="none"/>
        </w:rPr>
        <w:tab/>
      </w:r>
      <w:r>
        <w:rPr>
          <w:color w:val="auto"/>
          <w:highlight w:val="none"/>
        </w:rPr>
        <w:fldChar w:fldCharType="begin"/>
      </w:r>
      <w:r>
        <w:rPr>
          <w:color w:val="auto"/>
          <w:highlight w:val="none"/>
        </w:rPr>
        <w:instrText xml:space="preserve"> PAGEREF _Toc49258167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"_Toc49258168" </w:instrText>
      </w:r>
      <w:r>
        <w:rPr>
          <w:color w:val="auto"/>
          <w:highlight w:val="none"/>
        </w:rPr>
        <w:fldChar w:fldCharType="separate"/>
      </w:r>
      <w:r>
        <w:rPr>
          <w:rStyle w:val="57"/>
          <w:color w:val="auto"/>
          <w:highlight w:val="none"/>
        </w:rPr>
        <w:t>9.3</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计量功能检验</w:t>
      </w:r>
      <w:r>
        <w:rPr>
          <w:color w:val="auto"/>
          <w:highlight w:val="none"/>
        </w:rPr>
        <w:tab/>
      </w:r>
      <w:r>
        <w:rPr>
          <w:color w:val="auto"/>
          <w:highlight w:val="none"/>
        </w:rPr>
        <w:fldChar w:fldCharType="begin"/>
      </w:r>
      <w:r>
        <w:rPr>
          <w:color w:val="auto"/>
          <w:highlight w:val="none"/>
        </w:rPr>
        <w:instrText xml:space="preserve"> PAGEREF _Toc49258168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"_Toc49258169" </w:instrText>
      </w:r>
      <w:r>
        <w:rPr>
          <w:color w:val="auto"/>
          <w:highlight w:val="none"/>
        </w:rPr>
        <w:fldChar w:fldCharType="separate"/>
      </w:r>
      <w:r>
        <w:rPr>
          <w:rStyle w:val="57"/>
          <w:color w:val="auto"/>
          <w:highlight w:val="none"/>
        </w:rPr>
        <w:t>9.4</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相量数据集中器功能检验</w:t>
      </w:r>
      <w:r>
        <w:rPr>
          <w:color w:val="auto"/>
          <w:highlight w:val="none"/>
        </w:rPr>
        <w:tab/>
      </w:r>
      <w:r>
        <w:rPr>
          <w:color w:val="auto"/>
          <w:highlight w:val="none"/>
        </w:rPr>
        <w:fldChar w:fldCharType="begin"/>
      </w:r>
      <w:r>
        <w:rPr>
          <w:color w:val="auto"/>
          <w:highlight w:val="none"/>
        </w:rPr>
        <w:instrText xml:space="preserve"> PAGEREF _Toc49258169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"_Toc49258170" </w:instrText>
      </w:r>
      <w:r>
        <w:rPr>
          <w:color w:val="auto"/>
          <w:highlight w:val="none"/>
        </w:rPr>
        <w:fldChar w:fldCharType="separate"/>
      </w:r>
      <w:r>
        <w:rPr>
          <w:rStyle w:val="57"/>
          <w:color w:val="auto"/>
          <w:highlight w:val="none"/>
        </w:rPr>
        <w:t>9.5</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告警直传功能检验</w:t>
      </w:r>
      <w:r>
        <w:rPr>
          <w:color w:val="auto"/>
          <w:highlight w:val="none"/>
        </w:rPr>
        <w:tab/>
      </w:r>
      <w:r>
        <w:rPr>
          <w:color w:val="auto"/>
          <w:highlight w:val="none"/>
        </w:rPr>
        <w:fldChar w:fldCharType="begin"/>
      </w:r>
      <w:r>
        <w:rPr>
          <w:color w:val="auto"/>
          <w:highlight w:val="none"/>
        </w:rPr>
        <w:instrText xml:space="preserve"> PAGEREF _Toc49258170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"_Toc49258171" </w:instrText>
      </w:r>
      <w:r>
        <w:rPr>
          <w:color w:val="auto"/>
          <w:highlight w:val="none"/>
        </w:rPr>
        <w:fldChar w:fldCharType="separate"/>
      </w:r>
      <w:r>
        <w:rPr>
          <w:rStyle w:val="57"/>
          <w:color w:val="auto"/>
          <w:highlight w:val="none"/>
        </w:rPr>
        <w:t>9.6</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在线监测功能检验</w:t>
      </w:r>
      <w:r>
        <w:rPr>
          <w:color w:val="auto"/>
          <w:highlight w:val="none"/>
        </w:rPr>
        <w:tab/>
      </w:r>
      <w:r>
        <w:rPr>
          <w:color w:val="auto"/>
          <w:highlight w:val="none"/>
        </w:rPr>
        <w:fldChar w:fldCharType="begin"/>
      </w:r>
      <w:r>
        <w:rPr>
          <w:color w:val="auto"/>
          <w:highlight w:val="none"/>
        </w:rPr>
        <w:instrText xml:space="preserve"> PAGEREF _Toc49258171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"_Toc49258172" </w:instrText>
      </w:r>
      <w:r>
        <w:rPr>
          <w:color w:val="auto"/>
          <w:highlight w:val="none"/>
        </w:rPr>
        <w:fldChar w:fldCharType="separate"/>
      </w:r>
      <w:r>
        <w:rPr>
          <w:rStyle w:val="57"/>
          <w:color w:val="auto"/>
          <w:highlight w:val="none"/>
        </w:rPr>
        <w:t>9.7</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远程浏览功能检验</w:t>
      </w:r>
      <w:r>
        <w:rPr>
          <w:color w:val="auto"/>
          <w:highlight w:val="none"/>
        </w:rPr>
        <w:tab/>
      </w:r>
      <w:r>
        <w:rPr>
          <w:color w:val="auto"/>
          <w:highlight w:val="none"/>
        </w:rPr>
        <w:fldChar w:fldCharType="begin"/>
      </w:r>
      <w:r>
        <w:rPr>
          <w:color w:val="auto"/>
          <w:highlight w:val="none"/>
        </w:rPr>
        <w:instrText xml:space="preserve"> PAGEREF _Toc49258172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"_Toc49258173" </w:instrText>
      </w:r>
      <w:r>
        <w:rPr>
          <w:color w:val="auto"/>
          <w:highlight w:val="none"/>
        </w:rPr>
        <w:fldChar w:fldCharType="separate"/>
      </w:r>
      <w:r>
        <w:rPr>
          <w:rStyle w:val="57"/>
          <w:color w:val="auto"/>
          <w:highlight w:val="none"/>
        </w:rPr>
        <w:t>9.8</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源端维护功能检验</w:t>
      </w:r>
      <w:r>
        <w:rPr>
          <w:color w:val="auto"/>
          <w:highlight w:val="none"/>
        </w:rPr>
        <w:tab/>
      </w:r>
      <w:r>
        <w:rPr>
          <w:color w:val="auto"/>
          <w:highlight w:val="none"/>
        </w:rPr>
        <w:fldChar w:fldCharType="begin"/>
      </w:r>
      <w:r>
        <w:rPr>
          <w:color w:val="auto"/>
          <w:highlight w:val="none"/>
        </w:rPr>
        <w:instrText xml:space="preserve"> PAGEREF _Toc49258173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"_Toc49258174" </w:instrText>
      </w:r>
      <w:r>
        <w:rPr>
          <w:color w:val="auto"/>
          <w:highlight w:val="none"/>
        </w:rPr>
        <w:fldChar w:fldCharType="separate"/>
      </w:r>
      <w:r>
        <w:rPr>
          <w:rStyle w:val="57"/>
          <w:color w:val="auto"/>
          <w:highlight w:val="none"/>
        </w:rPr>
        <w:t>9.9</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顺序控制功能检验</w:t>
      </w:r>
      <w:r>
        <w:rPr>
          <w:color w:val="auto"/>
          <w:highlight w:val="none"/>
        </w:rPr>
        <w:tab/>
      </w:r>
      <w:r>
        <w:rPr>
          <w:color w:val="auto"/>
          <w:highlight w:val="none"/>
        </w:rPr>
        <w:fldChar w:fldCharType="begin"/>
      </w:r>
      <w:r>
        <w:rPr>
          <w:color w:val="auto"/>
          <w:highlight w:val="none"/>
        </w:rPr>
        <w:instrText xml:space="preserve"> PAGEREF _Toc49258174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"_Toc49258175" </w:instrText>
      </w:r>
      <w:r>
        <w:rPr>
          <w:color w:val="auto"/>
          <w:highlight w:val="none"/>
        </w:rPr>
        <w:fldChar w:fldCharType="separate"/>
      </w:r>
      <w:r>
        <w:rPr>
          <w:rStyle w:val="57"/>
          <w:color w:val="auto"/>
          <w:highlight w:val="none"/>
        </w:rPr>
        <w:t>9.10</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电压无功控制功能检验</w:t>
      </w:r>
      <w:r>
        <w:rPr>
          <w:color w:val="auto"/>
          <w:highlight w:val="none"/>
        </w:rPr>
        <w:tab/>
      </w:r>
      <w:r>
        <w:rPr>
          <w:color w:val="auto"/>
          <w:highlight w:val="none"/>
        </w:rPr>
        <w:fldChar w:fldCharType="begin"/>
      </w:r>
      <w:r>
        <w:rPr>
          <w:color w:val="auto"/>
          <w:highlight w:val="none"/>
        </w:rPr>
        <w:instrText xml:space="preserve"> PAGEREF _Toc49258175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"_Toc49258176" </w:instrText>
      </w:r>
      <w:r>
        <w:rPr>
          <w:color w:val="auto"/>
          <w:highlight w:val="none"/>
        </w:rPr>
        <w:fldChar w:fldCharType="separate"/>
      </w:r>
      <w:r>
        <w:rPr>
          <w:rStyle w:val="57"/>
          <w:color w:val="auto"/>
          <w:highlight w:val="none"/>
        </w:rPr>
        <w:t>9.11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监控终端功能检验</w:t>
      </w:r>
      <w:r>
        <w:rPr>
          <w:color w:val="auto"/>
          <w:highlight w:val="none"/>
        </w:rPr>
        <w:tab/>
      </w:r>
      <w:r>
        <w:rPr>
          <w:color w:val="auto"/>
          <w:highlight w:val="none"/>
        </w:rPr>
        <w:fldChar w:fldCharType="begin"/>
      </w:r>
      <w:r>
        <w:rPr>
          <w:color w:val="auto"/>
          <w:highlight w:val="none"/>
        </w:rPr>
        <w:instrText xml:space="preserve"> PAGEREF _Toc49258176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"_Toc49258177" </w:instrText>
      </w:r>
      <w:r>
        <w:rPr>
          <w:color w:val="auto"/>
          <w:highlight w:val="none"/>
        </w:rPr>
        <w:fldChar w:fldCharType="separate"/>
      </w:r>
      <w:r>
        <w:rPr>
          <w:rStyle w:val="57"/>
          <w:color w:val="auto"/>
          <w:highlight w:val="none"/>
        </w:rPr>
        <w:t>9.12</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防误闭锁功能检验</w:t>
      </w:r>
      <w:r>
        <w:rPr>
          <w:color w:val="auto"/>
          <w:highlight w:val="none"/>
        </w:rPr>
        <w:tab/>
      </w:r>
      <w:r>
        <w:rPr>
          <w:color w:val="auto"/>
          <w:highlight w:val="none"/>
        </w:rPr>
        <w:fldChar w:fldCharType="begin"/>
      </w:r>
      <w:r>
        <w:rPr>
          <w:color w:val="auto"/>
          <w:highlight w:val="none"/>
        </w:rPr>
        <w:instrText xml:space="preserve"> PAGEREF _Toc49258177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"_Toc49258178" </w:instrText>
      </w:r>
      <w:r>
        <w:rPr>
          <w:color w:val="auto"/>
          <w:highlight w:val="none"/>
        </w:rPr>
        <w:fldChar w:fldCharType="separate"/>
      </w:r>
      <w:r>
        <w:rPr>
          <w:rStyle w:val="57"/>
          <w:color w:val="auto"/>
          <w:highlight w:val="none"/>
        </w:rPr>
        <w:t>9.13</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对时和时间管理功能检验</w:t>
      </w:r>
      <w:r>
        <w:rPr>
          <w:color w:val="auto"/>
          <w:highlight w:val="none"/>
        </w:rPr>
        <w:tab/>
      </w:r>
      <w:r>
        <w:rPr>
          <w:color w:val="auto"/>
          <w:highlight w:val="none"/>
        </w:rPr>
        <w:fldChar w:fldCharType="begin"/>
      </w:r>
      <w:r>
        <w:rPr>
          <w:color w:val="auto"/>
          <w:highlight w:val="none"/>
        </w:rPr>
        <w:instrText xml:space="preserve"> PAGEREF _Toc49258178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"_Toc49258179" </w:instrText>
      </w:r>
      <w:r>
        <w:rPr>
          <w:color w:val="auto"/>
          <w:highlight w:val="none"/>
        </w:rPr>
        <w:fldChar w:fldCharType="separate"/>
      </w:r>
      <w:r>
        <w:rPr>
          <w:rStyle w:val="57"/>
          <w:color w:val="auto"/>
          <w:highlight w:val="none"/>
        </w:rPr>
        <w:t>9.14</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冗余功能检验</w:t>
      </w:r>
      <w:r>
        <w:rPr>
          <w:color w:val="auto"/>
          <w:highlight w:val="none"/>
        </w:rPr>
        <w:tab/>
      </w:r>
      <w:r>
        <w:rPr>
          <w:color w:val="auto"/>
          <w:highlight w:val="none"/>
        </w:rPr>
        <w:fldChar w:fldCharType="begin"/>
      </w:r>
      <w:r>
        <w:rPr>
          <w:color w:val="auto"/>
          <w:highlight w:val="none"/>
        </w:rPr>
        <w:instrText xml:space="preserve"> PAGEREF _Toc49258179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"_Toc49258180" </w:instrText>
      </w:r>
      <w:r>
        <w:rPr>
          <w:color w:val="auto"/>
          <w:highlight w:val="none"/>
        </w:rPr>
        <w:fldChar w:fldCharType="separate"/>
      </w:r>
      <w:r>
        <w:rPr>
          <w:rStyle w:val="57"/>
          <w:color w:val="auto"/>
          <w:highlight w:val="none"/>
        </w:rPr>
        <w:t>9.15</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通道监视功能检验</w:t>
      </w:r>
      <w:r>
        <w:rPr>
          <w:color w:val="auto"/>
          <w:highlight w:val="none"/>
        </w:rPr>
        <w:tab/>
      </w:r>
      <w:r>
        <w:rPr>
          <w:color w:val="auto"/>
          <w:highlight w:val="none"/>
        </w:rPr>
        <w:fldChar w:fldCharType="begin"/>
      </w:r>
      <w:r>
        <w:rPr>
          <w:color w:val="auto"/>
          <w:highlight w:val="none"/>
        </w:rPr>
        <w:instrText xml:space="preserve"> PAGEREF _Toc49258180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"_Toc49258181" </w:instrText>
      </w:r>
      <w:r>
        <w:rPr>
          <w:color w:val="auto"/>
          <w:highlight w:val="none"/>
        </w:rPr>
        <w:fldChar w:fldCharType="separate"/>
      </w:r>
      <w:r>
        <w:rPr>
          <w:rStyle w:val="57"/>
          <w:color w:val="auto"/>
          <w:highlight w:val="none"/>
        </w:rPr>
        <w:t>9.16</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自检和日志功能检验</w:t>
      </w:r>
      <w:r>
        <w:rPr>
          <w:color w:val="auto"/>
          <w:highlight w:val="none"/>
        </w:rPr>
        <w:tab/>
      </w:r>
      <w:r>
        <w:rPr>
          <w:color w:val="auto"/>
          <w:highlight w:val="none"/>
        </w:rPr>
        <w:fldChar w:fldCharType="begin"/>
      </w:r>
      <w:r>
        <w:rPr>
          <w:color w:val="auto"/>
          <w:highlight w:val="none"/>
        </w:rPr>
        <w:instrText xml:space="preserve"> PAGEREF _Toc49258181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"_Toc49258182" </w:instrText>
      </w:r>
      <w:r>
        <w:rPr>
          <w:color w:val="auto"/>
          <w:highlight w:val="none"/>
        </w:rPr>
        <w:fldChar w:fldCharType="separate"/>
      </w:r>
      <w:r>
        <w:rPr>
          <w:rStyle w:val="57"/>
          <w:color w:val="auto"/>
          <w:highlight w:val="none"/>
        </w:rPr>
        <w:t>9.17</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性能指标检验</w:t>
      </w:r>
      <w:r>
        <w:rPr>
          <w:color w:val="auto"/>
          <w:highlight w:val="none"/>
        </w:rPr>
        <w:tab/>
      </w:r>
      <w:r>
        <w:rPr>
          <w:color w:val="auto"/>
          <w:highlight w:val="none"/>
        </w:rPr>
        <w:fldChar w:fldCharType="begin"/>
      </w:r>
      <w:r>
        <w:rPr>
          <w:color w:val="auto"/>
          <w:highlight w:val="none"/>
        </w:rPr>
        <w:instrText xml:space="preserve"> PAGEREF _Toc49258182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"_Toc49258183" </w:instrText>
      </w:r>
      <w:r>
        <w:rPr>
          <w:color w:val="auto"/>
          <w:highlight w:val="none"/>
        </w:rPr>
        <w:fldChar w:fldCharType="separate"/>
      </w:r>
      <w:r>
        <w:rPr>
          <w:rStyle w:val="57"/>
          <w:color w:val="auto"/>
          <w:highlight w:val="none"/>
        </w:rPr>
        <w:t>9.18</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规约一致性检验</w:t>
      </w:r>
      <w:r>
        <w:rPr>
          <w:color w:val="auto"/>
          <w:highlight w:val="none"/>
        </w:rPr>
        <w:tab/>
      </w:r>
      <w:r>
        <w:rPr>
          <w:color w:val="auto"/>
          <w:highlight w:val="none"/>
        </w:rPr>
        <w:fldChar w:fldCharType="begin"/>
      </w:r>
      <w:r>
        <w:rPr>
          <w:color w:val="auto"/>
          <w:highlight w:val="none"/>
        </w:rPr>
        <w:instrText xml:space="preserve"> PAGEREF _Toc49258183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"_Toc49258184" </w:instrText>
      </w:r>
      <w:r>
        <w:rPr>
          <w:color w:val="auto"/>
          <w:highlight w:val="none"/>
        </w:rPr>
        <w:fldChar w:fldCharType="separate"/>
      </w:r>
      <w:r>
        <w:rPr>
          <w:rStyle w:val="57"/>
          <w:color w:val="auto"/>
          <w:highlight w:val="none"/>
        </w:rPr>
        <w:t>9.19</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电源影响检验</w:t>
      </w:r>
      <w:r>
        <w:rPr>
          <w:color w:val="auto"/>
          <w:highlight w:val="none"/>
        </w:rPr>
        <w:tab/>
      </w:r>
      <w:r>
        <w:rPr>
          <w:color w:val="auto"/>
          <w:highlight w:val="none"/>
        </w:rPr>
        <w:fldChar w:fldCharType="begin"/>
      </w:r>
      <w:r>
        <w:rPr>
          <w:color w:val="auto"/>
          <w:highlight w:val="none"/>
        </w:rPr>
        <w:instrText xml:space="preserve"> PAGEREF _Toc49258184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"_Toc49258185" </w:instrText>
      </w:r>
      <w:r>
        <w:rPr>
          <w:color w:val="auto"/>
          <w:highlight w:val="none"/>
        </w:rPr>
        <w:fldChar w:fldCharType="separate"/>
      </w:r>
      <w:r>
        <w:rPr>
          <w:rStyle w:val="57"/>
          <w:color w:val="auto"/>
          <w:highlight w:val="none"/>
        </w:rPr>
        <w:t>9.20</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绝缘性能检验</w:t>
      </w:r>
      <w:r>
        <w:rPr>
          <w:color w:val="auto"/>
          <w:highlight w:val="none"/>
        </w:rPr>
        <w:tab/>
      </w:r>
      <w:r>
        <w:rPr>
          <w:color w:val="auto"/>
          <w:highlight w:val="none"/>
        </w:rPr>
        <w:fldChar w:fldCharType="begin"/>
      </w:r>
      <w:r>
        <w:rPr>
          <w:color w:val="auto"/>
          <w:highlight w:val="none"/>
        </w:rPr>
        <w:instrText xml:space="preserve"> PAGEREF _Toc49258185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"_Toc49258186" </w:instrText>
      </w:r>
      <w:r>
        <w:rPr>
          <w:color w:val="auto"/>
          <w:highlight w:val="none"/>
        </w:rPr>
        <w:fldChar w:fldCharType="separate"/>
      </w:r>
      <w:r>
        <w:rPr>
          <w:rStyle w:val="57"/>
          <w:color w:val="auto"/>
          <w:highlight w:val="none"/>
        </w:rPr>
        <w:t>9.21</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气候环境试验</w:t>
      </w:r>
      <w:r>
        <w:rPr>
          <w:color w:val="auto"/>
          <w:highlight w:val="none"/>
        </w:rPr>
        <w:tab/>
      </w:r>
      <w:r>
        <w:rPr>
          <w:color w:val="auto"/>
          <w:highlight w:val="none"/>
        </w:rPr>
        <w:fldChar w:fldCharType="begin"/>
      </w:r>
      <w:r>
        <w:rPr>
          <w:color w:val="auto"/>
          <w:highlight w:val="none"/>
        </w:rPr>
        <w:instrText xml:space="preserve"> PAGEREF _Toc49258186 \h </w:instrText>
      </w:r>
      <w:r>
        <w:rPr>
          <w:color w:val="auto"/>
          <w:highlight w:val="none"/>
        </w:rPr>
        <w:fldChar w:fldCharType="separate"/>
      </w:r>
      <w:r>
        <w:rPr>
          <w:color w:val="auto"/>
          <w:highlight w:val="none"/>
        </w:rPr>
        <w:t>58</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"_Toc49258187" </w:instrText>
      </w:r>
      <w:r>
        <w:rPr>
          <w:color w:val="auto"/>
          <w:highlight w:val="none"/>
        </w:rPr>
        <w:fldChar w:fldCharType="separate"/>
      </w:r>
      <w:r>
        <w:rPr>
          <w:rStyle w:val="57"/>
          <w:color w:val="auto"/>
          <w:highlight w:val="none"/>
        </w:rPr>
        <w:t>9.22</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机械性能试验</w:t>
      </w:r>
      <w:r>
        <w:rPr>
          <w:color w:val="auto"/>
          <w:highlight w:val="none"/>
        </w:rPr>
        <w:tab/>
      </w:r>
      <w:r>
        <w:rPr>
          <w:color w:val="auto"/>
          <w:highlight w:val="none"/>
        </w:rPr>
        <w:fldChar w:fldCharType="begin"/>
      </w:r>
      <w:r>
        <w:rPr>
          <w:color w:val="auto"/>
          <w:highlight w:val="none"/>
        </w:rPr>
        <w:instrText xml:space="preserve"> PAGEREF _Toc49258187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"_Toc49258188" </w:instrText>
      </w:r>
      <w:r>
        <w:rPr>
          <w:color w:val="auto"/>
          <w:highlight w:val="none"/>
        </w:rPr>
        <w:fldChar w:fldCharType="separate"/>
      </w:r>
      <w:r>
        <w:rPr>
          <w:rStyle w:val="57"/>
          <w:color w:val="auto"/>
          <w:highlight w:val="none"/>
        </w:rPr>
        <w:t>9.23</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电磁兼容试验</w:t>
      </w:r>
      <w:r>
        <w:rPr>
          <w:color w:val="auto"/>
          <w:highlight w:val="none"/>
        </w:rPr>
        <w:tab/>
      </w:r>
      <w:r>
        <w:rPr>
          <w:color w:val="auto"/>
          <w:highlight w:val="none"/>
        </w:rPr>
        <w:fldChar w:fldCharType="begin"/>
      </w:r>
      <w:r>
        <w:rPr>
          <w:color w:val="auto"/>
          <w:highlight w:val="none"/>
        </w:rPr>
        <w:instrText xml:space="preserve"> PAGEREF _Toc49258188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"_Toc49258189" </w:instrText>
      </w:r>
      <w:r>
        <w:rPr>
          <w:color w:val="auto"/>
          <w:highlight w:val="none"/>
        </w:rPr>
        <w:fldChar w:fldCharType="separate"/>
      </w:r>
      <w:r>
        <w:rPr>
          <w:rStyle w:val="57"/>
          <w:color w:val="auto"/>
          <w:highlight w:val="none"/>
        </w:rPr>
        <w:t>9.24</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长期运行稳定性试验</w:t>
      </w:r>
      <w:r>
        <w:rPr>
          <w:color w:val="auto"/>
          <w:highlight w:val="none"/>
        </w:rPr>
        <w:tab/>
      </w:r>
      <w:r>
        <w:rPr>
          <w:color w:val="auto"/>
          <w:highlight w:val="none"/>
        </w:rPr>
        <w:fldChar w:fldCharType="begin"/>
      </w:r>
      <w:r>
        <w:rPr>
          <w:color w:val="auto"/>
          <w:highlight w:val="none"/>
        </w:rPr>
        <w:instrText xml:space="preserve"> PAGEREF _Toc49258189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pPr>
        <w:pStyle w:val="41"/>
        <w:tabs>
          <w:tab w:val="left" w:pos="840"/>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"_Toc49258190" </w:instrText>
      </w:r>
      <w:r>
        <w:rPr>
          <w:color w:val="auto"/>
          <w:highlight w:val="none"/>
        </w:rPr>
        <w:fldChar w:fldCharType="separate"/>
      </w:r>
      <w:r>
        <w:rPr>
          <w:rStyle w:val="57"/>
          <w:color w:val="auto"/>
          <w:highlight w:val="none"/>
        </w:rPr>
        <w:t>9.25</w:t>
      </w:r>
      <w:r>
        <w:rPr>
          <w:rFonts w:asciiTheme="minorHAnsi" w:hAnsiTheme="minorHAnsi" w:eastAsiaTheme="minorEastAsia" w:cstheme="minorBidi"/>
          <w:smallCaps w:val="0"/>
          <w:color w:val="auto"/>
          <w:sz w:val="21"/>
          <w:szCs w:val="22"/>
          <w:highlight w:val="none"/>
        </w:rPr>
        <w:tab/>
      </w:r>
      <w:r>
        <w:rPr>
          <w:rStyle w:val="57"/>
          <w:rFonts w:hint="eastAsia"/>
          <w:color w:val="auto"/>
          <w:highlight w:val="none"/>
        </w:rPr>
        <w:t>可靠性评估试验</w:t>
      </w:r>
      <w:r>
        <w:rPr>
          <w:color w:val="auto"/>
          <w:highlight w:val="none"/>
        </w:rPr>
        <w:tab/>
      </w:r>
      <w:r>
        <w:rPr>
          <w:color w:val="auto"/>
          <w:highlight w:val="none"/>
        </w:rPr>
        <w:fldChar w:fldCharType="begin"/>
      </w:r>
      <w:r>
        <w:rPr>
          <w:color w:val="auto"/>
          <w:highlight w:val="none"/>
        </w:rPr>
        <w:instrText xml:space="preserve"> PAGEREF _Toc49258190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pPr>
        <w:pStyle w:val="41"/>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"_Toc49258191" </w:instrText>
      </w:r>
      <w:r>
        <w:rPr>
          <w:color w:val="auto"/>
          <w:highlight w:val="none"/>
        </w:rPr>
        <w:fldChar w:fldCharType="separate"/>
      </w:r>
      <w:r>
        <w:rPr>
          <w:rStyle w:val="57"/>
          <w:rFonts w:hint="eastAsia" w:ascii="宋体" w:hAnsi="宋体"/>
          <w:b/>
          <w:color w:val="auto"/>
          <w:highlight w:val="none"/>
        </w:rPr>
        <w:t>附录</w:t>
      </w:r>
      <w:r>
        <w:rPr>
          <w:rStyle w:val="57"/>
          <w:rFonts w:ascii="宋体" w:hAnsi="宋体"/>
          <w:b/>
          <w:color w:val="auto"/>
          <w:highlight w:val="none"/>
        </w:rPr>
        <w:t>A MMS</w:t>
      </w:r>
      <w:r>
        <w:rPr>
          <w:rStyle w:val="57"/>
          <w:rFonts w:hint="eastAsia" w:ascii="宋体" w:hAnsi="宋体"/>
          <w:b/>
          <w:color w:val="auto"/>
          <w:highlight w:val="none"/>
        </w:rPr>
        <w:t>客户端一致性检验</w:t>
      </w:r>
      <w:r>
        <w:rPr>
          <w:color w:val="auto"/>
          <w:highlight w:val="none"/>
        </w:rPr>
        <w:tab/>
      </w:r>
      <w:r>
        <w:rPr>
          <w:color w:val="auto"/>
          <w:highlight w:val="none"/>
        </w:rPr>
        <w:fldChar w:fldCharType="begin"/>
      </w:r>
      <w:r>
        <w:rPr>
          <w:color w:val="auto"/>
          <w:highlight w:val="none"/>
        </w:rPr>
        <w:instrText xml:space="preserve"> PAGEREF _Toc49258191 \h </w:instrText>
      </w:r>
      <w:r>
        <w:rPr>
          <w:color w:val="auto"/>
          <w:highlight w:val="none"/>
        </w:rPr>
        <w:fldChar w:fldCharType="separate"/>
      </w:r>
      <w:r>
        <w:rPr>
          <w:color w:val="auto"/>
          <w:highlight w:val="none"/>
        </w:rPr>
        <w:t>66</w:t>
      </w:r>
      <w:r>
        <w:rPr>
          <w:color w:val="auto"/>
          <w:highlight w:val="none"/>
        </w:rPr>
        <w:fldChar w:fldCharType="end"/>
      </w:r>
      <w:r>
        <w:rPr>
          <w:color w:val="auto"/>
          <w:highlight w:val="none"/>
        </w:rPr>
        <w:fldChar w:fldCharType="end"/>
      </w:r>
    </w:p>
    <w:p>
      <w:pPr>
        <w:pStyle w:val="41"/>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"_Toc49258192" </w:instrText>
      </w:r>
      <w:r>
        <w:rPr>
          <w:color w:val="auto"/>
          <w:highlight w:val="none"/>
        </w:rPr>
        <w:fldChar w:fldCharType="separate"/>
      </w:r>
      <w:r>
        <w:rPr>
          <w:rStyle w:val="57"/>
          <w:rFonts w:hint="eastAsia" w:ascii="宋体" w:hAnsi="宋体"/>
          <w:b/>
          <w:color w:val="auto"/>
          <w:highlight w:val="none"/>
        </w:rPr>
        <w:t>附录</w:t>
      </w:r>
      <w:r>
        <w:rPr>
          <w:rStyle w:val="57"/>
          <w:rFonts w:ascii="宋体" w:hAnsi="宋体"/>
          <w:b/>
          <w:color w:val="auto"/>
          <w:highlight w:val="none"/>
        </w:rPr>
        <w:t>B MMS</w:t>
      </w:r>
      <w:r>
        <w:rPr>
          <w:rStyle w:val="57"/>
          <w:rFonts w:hint="eastAsia" w:ascii="宋体" w:hAnsi="宋体"/>
          <w:b/>
          <w:color w:val="auto"/>
          <w:highlight w:val="none"/>
        </w:rPr>
        <w:t>服务器一致性检验</w:t>
      </w:r>
      <w:r>
        <w:rPr>
          <w:color w:val="auto"/>
          <w:highlight w:val="none"/>
        </w:rPr>
        <w:tab/>
      </w:r>
      <w:r>
        <w:rPr>
          <w:color w:val="auto"/>
          <w:highlight w:val="none"/>
        </w:rPr>
        <w:fldChar w:fldCharType="begin"/>
      </w:r>
      <w:r>
        <w:rPr>
          <w:color w:val="auto"/>
          <w:highlight w:val="none"/>
        </w:rPr>
        <w:instrText xml:space="preserve"> PAGEREF _Toc49258192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pPr>
        <w:rPr>
          <w:color w:val="auto"/>
          <w:highlight w:val="none"/>
        </w:rPr>
      </w:pPr>
      <w:r>
        <w:rPr>
          <w:color w:val="auto"/>
          <w:highlight w:val="none"/>
        </w:rPr>
        <w:fldChar w:fldCharType="end"/>
      </w:r>
    </w:p>
    <w:p>
      <w:pPr>
        <w:jc w:val="center"/>
        <w:rPr>
          <w:rFonts w:ascii="黑体" w:hAnsi="黑体" w:eastAsia="黑体"/>
          <w:b/>
          <w:color w:val="auto"/>
          <w:sz w:val="28"/>
          <w:szCs w:val="28"/>
          <w:highlight w:val="none"/>
        </w:rPr>
      </w:pPr>
    </w:p>
    <w:p>
      <w:pPr>
        <w:rPr>
          <w:rFonts w:ascii="黑体" w:hAnsi="黑体" w:eastAsia="黑体"/>
          <w:b/>
          <w:color w:val="auto"/>
          <w:sz w:val="28"/>
          <w:szCs w:val="28"/>
          <w:highlight w:val="none"/>
        </w:rPr>
        <w:sectPr>
          <w:pgSz w:w="11906" w:h="16838"/>
          <w:pgMar w:top="1440" w:right="1800" w:bottom="1440" w:left="1800" w:header="851" w:footer="992" w:gutter="0"/>
          <w:pgNumType w:fmt="upperRoman" w:start="1"/>
          <w:cols w:space="720" w:num="1"/>
          <w:docGrid w:type="lines" w:linePitch="312" w:charSpace="0"/>
        </w:sectPr>
      </w:pPr>
    </w:p>
    <w:bookmarkEnd w:id="0"/>
    <w:bookmarkEnd w:id="1"/>
    <w:bookmarkEnd w:id="2"/>
    <w:bookmarkEnd w:id="3"/>
    <w:bookmarkEnd w:id="4"/>
    <w:bookmarkEnd w:id="5"/>
    <w:bookmarkEnd w:id="6"/>
    <w:p>
      <w:pPr>
        <w:pStyle w:val="2"/>
        <w:numPr>
          <w:ilvl w:val="0"/>
          <w:numId w:val="27"/>
        </w:numPr>
        <w:rPr>
          <w:color w:val="auto"/>
          <w:sz w:val="24"/>
          <w:szCs w:val="24"/>
          <w:highlight w:val="none"/>
        </w:rPr>
      </w:pPr>
      <w:bookmarkStart w:id="7" w:name="_Toc49258127"/>
      <w:bookmarkStart w:id="8" w:name="_Toc528273496"/>
      <w:bookmarkStart w:id="9" w:name="_Toc483341456"/>
      <w:r>
        <w:rPr>
          <w:rFonts w:hint="eastAsia"/>
          <w:color w:val="auto"/>
          <w:sz w:val="24"/>
          <w:szCs w:val="24"/>
          <w:highlight w:val="none"/>
        </w:rPr>
        <w:t>适用范围</w:t>
      </w:r>
      <w:bookmarkEnd w:id="7"/>
      <w:bookmarkEnd w:id="8"/>
      <w:bookmarkEnd w:id="9"/>
    </w:p>
    <w:p>
      <w:pPr>
        <w:ind w:firstLine="420" w:firstLineChars="200"/>
        <w:rPr>
          <w:rFonts w:ascii="宋体" w:hAnsi="宋体"/>
          <w:color w:val="auto"/>
          <w:szCs w:val="21"/>
          <w:highlight w:val="none"/>
        </w:rPr>
      </w:pPr>
      <w:r>
        <w:rPr>
          <w:rFonts w:hint="eastAsia" w:ascii="宋体" w:hAnsi="宋体"/>
          <w:color w:val="auto"/>
          <w:szCs w:val="21"/>
          <w:highlight w:val="none"/>
        </w:rPr>
        <w:t>本标准适用于变电站智能远动机的送样检测工作。</w:t>
      </w:r>
    </w:p>
    <w:p>
      <w:pPr>
        <w:pStyle w:val="2"/>
        <w:rPr>
          <w:color w:val="auto"/>
          <w:sz w:val="24"/>
          <w:szCs w:val="24"/>
          <w:highlight w:val="none"/>
        </w:rPr>
      </w:pPr>
      <w:bookmarkStart w:id="10" w:name="_Toc528273497"/>
      <w:bookmarkStart w:id="11" w:name="_Toc483341457"/>
      <w:bookmarkStart w:id="12" w:name="_Toc49258128"/>
      <w:r>
        <w:rPr>
          <w:rFonts w:hint="eastAsia"/>
          <w:color w:val="auto"/>
          <w:sz w:val="24"/>
          <w:szCs w:val="24"/>
          <w:highlight w:val="none"/>
        </w:rPr>
        <w:t>检测依据</w:t>
      </w:r>
      <w:bookmarkEnd w:id="10"/>
      <w:bookmarkEnd w:id="11"/>
      <w:bookmarkEnd w:id="12"/>
    </w:p>
    <w:p>
      <w:pPr>
        <w:pStyle w:val="80"/>
        <w:rPr>
          <w:rFonts w:ascii="宋体" w:hAnsi="宋体"/>
          <w:color w:val="auto"/>
          <w:szCs w:val="21"/>
          <w:highlight w:val="none"/>
        </w:rPr>
      </w:pPr>
      <w:r>
        <w:rPr>
          <w:rFonts w:hint="eastAsia" w:ascii="宋体" w:hAnsi="宋体"/>
          <w:color w:val="auto"/>
          <w:szCs w:val="21"/>
          <w:highlight w:val="none"/>
        </w:rPr>
        <w:t>凡是注日期的引用文件，仅注日期的版本适用于本文件。凡是不注日期的引用文件，其最新版本（包括所有的修改单）适用于本文件。</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13729-20</w:t>
      </w:r>
      <w:r>
        <w:rPr>
          <w:rFonts w:ascii="宋体" w:hAnsi="宋体"/>
          <w:color w:val="auto"/>
          <w:szCs w:val="21"/>
          <w:highlight w:val="none"/>
        </w:rPr>
        <w:t>19</w:t>
      </w:r>
      <w:r>
        <w:rPr>
          <w:rFonts w:hint="eastAsia" w:ascii="宋体" w:hAnsi="宋体"/>
          <w:color w:val="auto"/>
          <w:szCs w:val="21"/>
          <w:highlight w:val="none"/>
        </w:rPr>
        <w:t>远动终端设备</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15153.1-1998 远动设备及系统 第2部分：工作条件 第1 篇：电源和电磁兼容性</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15153.2-2000 远动设备及系统 第2部分：工作条件 第2 篇：环境条件（气候、机械和其他非电影响因素）</w:t>
      </w:r>
    </w:p>
    <w:p>
      <w:pPr>
        <w:pStyle w:val="80"/>
        <w:rPr>
          <w:rFonts w:ascii="宋体" w:hAnsi="宋体"/>
          <w:color w:val="auto"/>
          <w:szCs w:val="21"/>
          <w:highlight w:val="none"/>
        </w:rPr>
      </w:pPr>
      <w:r>
        <w:rPr>
          <w:rFonts w:hint="eastAsia" w:ascii="宋体" w:hAnsi="宋体"/>
          <w:color w:val="auto"/>
          <w:szCs w:val="21"/>
          <w:highlight w:val="none"/>
        </w:rPr>
        <w:t>GB/T 17626.2-2018 电磁兼容 试验和测量技术 静电放电抗扰度试验</w:t>
      </w:r>
    </w:p>
    <w:p>
      <w:pPr>
        <w:pStyle w:val="80"/>
        <w:rPr>
          <w:rFonts w:ascii="宋体" w:hAnsi="宋体"/>
          <w:color w:val="auto"/>
          <w:szCs w:val="21"/>
          <w:highlight w:val="none"/>
        </w:rPr>
      </w:pPr>
      <w:r>
        <w:rPr>
          <w:rFonts w:hint="eastAsia" w:ascii="宋体" w:hAnsi="宋体"/>
          <w:color w:val="auto"/>
          <w:szCs w:val="21"/>
          <w:highlight w:val="none"/>
        </w:rPr>
        <w:t>GB/T 17626.3-2016 电磁兼容 试验和测量技术 射频电磁场辐射抗扰度试验</w:t>
      </w:r>
    </w:p>
    <w:p>
      <w:pPr>
        <w:pStyle w:val="80"/>
        <w:rPr>
          <w:rFonts w:ascii="宋体" w:hAnsi="宋体"/>
          <w:color w:val="auto"/>
          <w:szCs w:val="21"/>
          <w:highlight w:val="none"/>
        </w:rPr>
      </w:pPr>
      <w:r>
        <w:rPr>
          <w:rFonts w:hint="eastAsia" w:ascii="宋体" w:hAnsi="宋体"/>
          <w:color w:val="auto"/>
          <w:szCs w:val="21"/>
          <w:highlight w:val="none"/>
        </w:rPr>
        <w:t>GB/T 17626.4-2018 电磁兼容 试验和测量技术 电快速瞬变脉冲群抗扰度试验</w:t>
      </w:r>
    </w:p>
    <w:p>
      <w:pPr>
        <w:pStyle w:val="80"/>
        <w:rPr>
          <w:rFonts w:ascii="宋体" w:hAnsi="宋体"/>
          <w:color w:val="auto"/>
          <w:szCs w:val="21"/>
          <w:highlight w:val="none"/>
        </w:rPr>
      </w:pPr>
      <w:r>
        <w:rPr>
          <w:rFonts w:hint="eastAsia" w:ascii="宋体" w:hAnsi="宋体"/>
          <w:color w:val="auto"/>
          <w:szCs w:val="21"/>
          <w:highlight w:val="none"/>
        </w:rPr>
        <w:t>GB/T 17626.5-2019 电磁兼容 试验和测量技术 浪涌（冲击）抗扰度试验</w:t>
      </w:r>
    </w:p>
    <w:p>
      <w:pPr>
        <w:pStyle w:val="80"/>
        <w:rPr>
          <w:rFonts w:ascii="宋体" w:hAnsi="宋体"/>
          <w:color w:val="auto"/>
          <w:szCs w:val="21"/>
          <w:highlight w:val="none"/>
        </w:rPr>
      </w:pPr>
      <w:r>
        <w:rPr>
          <w:rFonts w:hint="eastAsia" w:ascii="宋体" w:hAnsi="宋体"/>
          <w:color w:val="auto"/>
          <w:szCs w:val="21"/>
          <w:highlight w:val="none"/>
        </w:rPr>
        <w:t>GB/T 17626.6-2017 电磁兼容 试验和测量技术 射频场感应的传导骚扰抗扰度试验</w:t>
      </w:r>
    </w:p>
    <w:p>
      <w:pPr>
        <w:pStyle w:val="80"/>
        <w:rPr>
          <w:rFonts w:ascii="宋体" w:hAnsi="宋体"/>
          <w:color w:val="auto"/>
          <w:szCs w:val="21"/>
          <w:highlight w:val="none"/>
        </w:rPr>
      </w:pPr>
      <w:r>
        <w:rPr>
          <w:rFonts w:hint="eastAsia" w:ascii="宋体" w:hAnsi="宋体"/>
          <w:color w:val="auto"/>
          <w:szCs w:val="21"/>
          <w:highlight w:val="none"/>
        </w:rPr>
        <w:t>GB/T 17626.8-2006 电磁兼容 试验和测量技术 工频磁场抗扰度试验</w:t>
      </w:r>
    </w:p>
    <w:p>
      <w:pPr>
        <w:pStyle w:val="80"/>
        <w:rPr>
          <w:rFonts w:ascii="宋体" w:hAnsi="宋体"/>
          <w:color w:val="auto"/>
          <w:szCs w:val="21"/>
          <w:highlight w:val="none"/>
        </w:rPr>
      </w:pPr>
      <w:r>
        <w:rPr>
          <w:rFonts w:hint="eastAsia" w:ascii="宋体" w:hAnsi="宋体"/>
          <w:color w:val="auto"/>
          <w:szCs w:val="21"/>
          <w:highlight w:val="none"/>
        </w:rPr>
        <w:t>GB/T 17626.9-2011 电磁兼容 试验和测量技术 脉冲磁场抗扰度试验</w:t>
      </w:r>
    </w:p>
    <w:p>
      <w:pPr>
        <w:pStyle w:val="80"/>
        <w:rPr>
          <w:rFonts w:ascii="宋体" w:hAnsi="宋体"/>
          <w:color w:val="auto"/>
          <w:szCs w:val="21"/>
          <w:highlight w:val="none"/>
        </w:rPr>
      </w:pPr>
      <w:r>
        <w:rPr>
          <w:rFonts w:hint="eastAsia" w:ascii="宋体" w:hAnsi="宋体"/>
          <w:color w:val="auto"/>
          <w:szCs w:val="21"/>
          <w:highlight w:val="none"/>
        </w:rPr>
        <w:t>GB/T 17626.10-2017 电磁兼容 试验和测量技术 阻尼振荡磁场抗扰度试验</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17626.11-2008 电磁兼容 试验和测量技术 电压暂降、短时中断和电压变化的抗扰度试验</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17626.18-2016 电磁兼容 试验与测量技术 阻尼振荡波抗扰度试验</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17626.29-2006 电磁兼容 试验和测量技术 直流电源输入端口电压暂降、短时中断和电压变化的抗扰度试验</w:t>
      </w:r>
    </w:p>
    <w:p>
      <w:pPr>
        <w:pStyle w:val="80"/>
        <w:rPr>
          <w:rFonts w:ascii="宋体" w:hAnsi="宋体"/>
          <w:color w:val="auto"/>
          <w:szCs w:val="21"/>
          <w:highlight w:val="none"/>
        </w:rPr>
      </w:pPr>
      <w:r>
        <w:rPr>
          <w:rFonts w:hint="eastAsia" w:ascii="宋体" w:hAnsi="宋体"/>
          <w:color w:val="auto"/>
          <w:szCs w:val="21"/>
          <w:highlight w:val="none"/>
        </w:rPr>
        <w:t>GB/T 25645-2010 信息技术 中文Linux服务器操作系统技术要求</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25655-2010 信息技术 中文Linux桌面操作系统技术要求</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26862-2011 电力系统同步相量测量装置检测规范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26865.2-2011 电力系统实时动态监测系统 第2部分：数据传输协议</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29309-2012 电工电子产品加速应力试验规程 高加速寿命试验导则</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GB/T 31994-2015 智能远动网关技术规范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DL/T 634.5101-2002 远动设备及系统 第5 部分：传输规约 第101 篇：基本远动任务配套标准</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DL/T 634.5104-2009 远动设备及系统 第5-104部分：传输规约 采用标准传输协议集的IEC60870-5-101网络访问</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DL/T 667-1999 远动设备及系统 第5 部分：传输规约 第103 篇：继电保护设备信息接口配套标准</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DL/T 743-2001 电能量远方终端</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DL/T 860 变电站通信网络和系统</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DL</w:t>
      </w:r>
      <w:r>
        <w:rPr>
          <w:rFonts w:ascii="宋体" w:hAnsi="宋体"/>
          <w:color w:val="auto"/>
          <w:szCs w:val="21"/>
          <w:highlight w:val="none"/>
        </w:rPr>
        <w:t>/</w:t>
      </w:r>
      <w:r>
        <w:rPr>
          <w:rFonts w:hint="eastAsia" w:ascii="宋体" w:hAnsi="宋体"/>
          <w:color w:val="auto"/>
          <w:szCs w:val="21"/>
          <w:highlight w:val="none"/>
        </w:rPr>
        <w:t>T</w:t>
      </w:r>
      <w:r>
        <w:rPr>
          <w:rFonts w:ascii="宋体" w:hAnsi="宋体"/>
          <w:color w:val="auto"/>
          <w:szCs w:val="21"/>
          <w:highlight w:val="none"/>
        </w:rPr>
        <w:t xml:space="preserve"> </w:t>
      </w:r>
      <w:r>
        <w:rPr>
          <w:rFonts w:hint="eastAsia" w:ascii="宋体" w:hAnsi="宋体"/>
          <w:color w:val="auto"/>
          <w:szCs w:val="21"/>
          <w:highlight w:val="none"/>
        </w:rPr>
        <w:t>1950-2018变电站数据通信网关机检测规范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110006-2012 DL634.5.104-2002远动协议南方电网实施细则(V1.0)</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110007-2012 DL634.5.101-2002远动协议南方电网实施细则(V1.0)</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110024-2012 南方电网220kV</w:t>
      </w:r>
      <w:r>
        <w:rPr>
          <w:rFonts w:ascii="宋体" w:hAnsi="宋体"/>
          <w:color w:val="auto"/>
          <w:szCs w:val="21"/>
          <w:highlight w:val="none"/>
        </w:rPr>
        <w:t>~</w:t>
      </w:r>
      <w:r>
        <w:rPr>
          <w:rFonts w:hint="eastAsia" w:ascii="宋体" w:hAnsi="宋体"/>
          <w:color w:val="auto"/>
          <w:szCs w:val="21"/>
          <w:highlight w:val="none"/>
        </w:rPr>
        <w:t>50</w:t>
      </w:r>
      <w:r>
        <w:rPr>
          <w:rFonts w:ascii="宋体" w:hAnsi="宋体"/>
          <w:color w:val="auto"/>
          <w:szCs w:val="21"/>
          <w:highlight w:val="none"/>
        </w:rPr>
        <w:t>0kV</w:t>
      </w:r>
      <w:r>
        <w:rPr>
          <w:rFonts w:hint="eastAsia" w:ascii="宋体" w:hAnsi="宋体"/>
          <w:color w:val="auto"/>
          <w:szCs w:val="21"/>
          <w:highlight w:val="none"/>
        </w:rPr>
        <w:t>变电站计算机监控系统技术规范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110025-2012 南方电网110kV及以下变电站计算机监控系统技术规范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1203013-2016 南方电网继电保护信息系统技术规范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Q/CSG1203052-2018 南方电网相量测量装置(PMU)技术规范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1204005.34-2014南方电网一体化电网运行智能系统技术规范 第3部分：数据 第4篇：IEC61850实施规范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1204005.35-2014南方电网一体化电网运行智能系统技术规范 第3部分：数据 第5篇：电网公共信息模型规范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1204005.38-2014南方电网一体化电网运行智能系统技术规范 第3部分：数据 第8篇：基于SVG的公共图形交换</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1204005.39.1-2014南方电网一体化电网运行智能系统技术规范 第3部分：数据 第9篇：数据接口与协议 第1分册：厂站主站间数据交换</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1204005.66-2014南方电网一体化电网运行智能系统技术规范 第6部分：厂站应用 第6篇：智能远动机功能规范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1204013-2016 南方电网继电保护信息系统主站-子站以太网103通信规范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11109001-2013 厂站电能量采集终端技术规范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11109004-2013 计量自动化终端上行通信规约</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XXX-XXXX 智能远动机源端维护与订阅发布技术规范</w:t>
      </w:r>
    </w:p>
    <w:p>
      <w:pPr>
        <w:pStyle w:val="80"/>
        <w:ind w:left="420" w:leftChars="200" w:firstLine="0" w:firstLineChars="0"/>
        <w:rPr>
          <w:rFonts w:ascii="宋体" w:hAnsi="宋体"/>
          <w:color w:val="auto"/>
          <w:szCs w:val="21"/>
          <w:highlight w:val="none"/>
        </w:rPr>
      </w:pPr>
      <w:r>
        <w:rPr>
          <w:rFonts w:hint="eastAsia" w:ascii="宋体" w:hAnsi="宋体"/>
          <w:color w:val="auto"/>
          <w:szCs w:val="21"/>
          <w:highlight w:val="none"/>
        </w:rPr>
        <w:t>Q/CSG XXX-XXXX 南方电网变电站CIM模型文件生成技术规范</w:t>
      </w:r>
    </w:p>
    <w:p>
      <w:pPr>
        <w:pStyle w:val="80"/>
        <w:ind w:firstLineChars="0"/>
        <w:rPr>
          <w:rFonts w:ascii="宋体" w:hAnsi="宋体"/>
          <w:color w:val="auto"/>
          <w:szCs w:val="21"/>
          <w:highlight w:val="none"/>
        </w:rPr>
      </w:pPr>
      <w:r>
        <w:rPr>
          <w:rFonts w:hint="eastAsia" w:ascii="宋体" w:hAnsi="宋体"/>
          <w:color w:val="auto"/>
          <w:szCs w:val="21"/>
          <w:highlight w:val="none"/>
        </w:rPr>
        <w:t>Q/CSG XXX-XXXX设备在线监测综合处理单元技术要求（试行）</w:t>
      </w:r>
    </w:p>
    <w:p>
      <w:pPr>
        <w:pStyle w:val="80"/>
        <w:ind w:firstLineChars="0"/>
        <w:rPr>
          <w:rFonts w:ascii="宋体" w:hAnsi="宋体"/>
          <w:color w:val="auto"/>
          <w:szCs w:val="21"/>
          <w:highlight w:val="none"/>
        </w:rPr>
      </w:pPr>
      <w:r>
        <w:rPr>
          <w:rFonts w:hint="eastAsia" w:ascii="宋体" w:hAnsi="宋体"/>
          <w:color w:val="auto"/>
          <w:highlight w:val="none"/>
        </w:rPr>
        <w:t>GB/T 29309-2012</w:t>
      </w:r>
      <w:r>
        <w:rPr>
          <w:rFonts w:ascii="宋体" w:hAnsi="宋体"/>
          <w:color w:val="auto"/>
          <w:highlight w:val="none"/>
        </w:rPr>
        <w:t xml:space="preserve"> </w:t>
      </w:r>
      <w:r>
        <w:rPr>
          <w:rFonts w:hint="eastAsia" w:ascii="宋体" w:hAnsi="宋体"/>
          <w:color w:val="auto"/>
          <w:highlight w:val="none"/>
        </w:rPr>
        <w:t>电工电子产品加速应力试验规程 高加速寿命试验导则</w:t>
      </w:r>
    </w:p>
    <w:p>
      <w:pPr>
        <w:rPr>
          <w:rFonts w:ascii="宋体" w:hAnsi="宋体"/>
          <w:color w:val="auto"/>
          <w:szCs w:val="21"/>
          <w:highlight w:val="none"/>
        </w:rPr>
      </w:pPr>
    </w:p>
    <w:p>
      <w:pPr>
        <w:pStyle w:val="2"/>
        <w:rPr>
          <w:color w:val="auto"/>
          <w:sz w:val="24"/>
          <w:szCs w:val="24"/>
          <w:highlight w:val="none"/>
        </w:rPr>
      </w:pPr>
      <w:bookmarkStart w:id="13" w:name="_Toc49258129"/>
      <w:r>
        <w:rPr>
          <w:rFonts w:hint="eastAsia"/>
          <w:color w:val="auto"/>
          <w:sz w:val="24"/>
          <w:szCs w:val="24"/>
          <w:highlight w:val="none"/>
        </w:rPr>
        <w:t>术语、定义和缩略语</w:t>
      </w:r>
      <w:bookmarkEnd w:id="13"/>
    </w:p>
    <w:p>
      <w:pPr>
        <w:pStyle w:val="3"/>
        <w:rPr>
          <w:color w:val="auto"/>
          <w:sz w:val="24"/>
          <w:szCs w:val="24"/>
          <w:highlight w:val="none"/>
        </w:rPr>
      </w:pPr>
      <w:bookmarkStart w:id="14" w:name="_Toc49258130"/>
      <w:r>
        <w:rPr>
          <w:rFonts w:hint="eastAsia"/>
          <w:color w:val="auto"/>
          <w:sz w:val="24"/>
          <w:szCs w:val="24"/>
          <w:highlight w:val="none"/>
        </w:rPr>
        <w:t>术语和定义</w:t>
      </w:r>
      <w:bookmarkEnd w:id="14"/>
    </w:p>
    <w:p>
      <w:pPr>
        <w:pStyle w:val="80"/>
        <w:spacing w:line="276" w:lineRule="auto"/>
        <w:ind w:firstLineChars="0"/>
        <w:rPr>
          <w:rFonts w:ascii="宋体" w:hAnsi="宋体"/>
          <w:color w:val="auto"/>
          <w:sz w:val="24"/>
          <w:szCs w:val="24"/>
          <w:highlight w:val="none"/>
        </w:rPr>
      </w:pPr>
      <w:r>
        <w:rPr>
          <w:rFonts w:hint="eastAsia" w:ascii="宋体" w:hAnsi="宋体"/>
          <w:color w:val="auto"/>
          <w:sz w:val="24"/>
          <w:szCs w:val="24"/>
          <w:highlight w:val="none"/>
        </w:rPr>
        <w:t>DL/T860界定的以及下列术语和定义适用于本文件。</w:t>
      </w:r>
    </w:p>
    <w:p>
      <w:pPr>
        <w:pStyle w:val="5"/>
        <w:rPr>
          <w:color w:val="auto"/>
          <w:sz w:val="24"/>
          <w:szCs w:val="24"/>
          <w:highlight w:val="none"/>
        </w:rPr>
      </w:pPr>
      <w:r>
        <w:rPr>
          <w:rFonts w:hint="eastAsia"/>
          <w:color w:val="auto"/>
          <w:sz w:val="24"/>
          <w:szCs w:val="24"/>
          <w:highlight w:val="none"/>
        </w:rPr>
        <w:t>智能远动机 smart remote communication and control gateway</w:t>
      </w:r>
    </w:p>
    <w:p>
      <w:pPr>
        <w:pStyle w:val="80"/>
        <w:spacing w:line="276" w:lineRule="auto"/>
        <w:ind w:firstLineChars="0"/>
        <w:rPr>
          <w:rFonts w:ascii="宋体" w:hAnsi="宋体"/>
          <w:color w:val="auto"/>
          <w:sz w:val="24"/>
          <w:szCs w:val="24"/>
          <w:highlight w:val="none"/>
        </w:rPr>
      </w:pPr>
      <w:r>
        <w:rPr>
          <w:rFonts w:hint="eastAsia" w:ascii="宋体" w:hAnsi="宋体"/>
          <w:color w:val="auto"/>
          <w:sz w:val="24"/>
          <w:szCs w:val="24"/>
          <w:highlight w:val="none"/>
        </w:rPr>
        <w:t>位于变电站站控层的一种远动装置，集成了变电站和主站系统之间的通信功能，实现变电站远动数据的直采直送，并提供变电站内数据、模型和图形的采集、存储、处理和传输服务，支持远程浏览、源端维护、顺序控制、电压无功控制等功能，宜具备防误闭锁、监控终端功能。</w:t>
      </w:r>
    </w:p>
    <w:p>
      <w:pPr>
        <w:pStyle w:val="5"/>
        <w:rPr>
          <w:color w:val="auto"/>
          <w:sz w:val="24"/>
          <w:szCs w:val="24"/>
          <w:highlight w:val="none"/>
        </w:rPr>
      </w:pPr>
      <w:r>
        <w:rPr>
          <w:rFonts w:hint="eastAsia"/>
          <w:color w:val="auto"/>
          <w:sz w:val="24"/>
          <w:szCs w:val="24"/>
          <w:highlight w:val="none"/>
        </w:rPr>
        <w:t>监控终端 supervision and control terminal</w:t>
      </w:r>
    </w:p>
    <w:p>
      <w:pPr>
        <w:pStyle w:val="80"/>
        <w:spacing w:line="276" w:lineRule="auto"/>
        <w:ind w:firstLineChars="0"/>
        <w:rPr>
          <w:rFonts w:ascii="宋体" w:hAnsi="宋体"/>
          <w:color w:val="auto"/>
          <w:sz w:val="24"/>
          <w:szCs w:val="24"/>
          <w:highlight w:val="none"/>
        </w:rPr>
      </w:pPr>
      <w:r>
        <w:rPr>
          <w:rFonts w:hint="eastAsia" w:ascii="宋体" w:hAnsi="宋体"/>
          <w:color w:val="auto"/>
          <w:sz w:val="24"/>
          <w:szCs w:val="24"/>
          <w:highlight w:val="none"/>
        </w:rPr>
        <w:t>一种计算机或者显示终端设备，与智能远动网关配合实现变电站的监视和控制，支持即插即用。</w:t>
      </w:r>
    </w:p>
    <w:p>
      <w:pPr>
        <w:pStyle w:val="5"/>
        <w:rPr>
          <w:color w:val="auto"/>
          <w:sz w:val="24"/>
          <w:szCs w:val="24"/>
          <w:highlight w:val="none"/>
        </w:rPr>
      </w:pPr>
      <w:r>
        <w:rPr>
          <w:rFonts w:hint="eastAsia"/>
          <w:color w:val="auto"/>
          <w:sz w:val="24"/>
          <w:szCs w:val="24"/>
          <w:highlight w:val="none"/>
        </w:rPr>
        <w:t>远程浏览remote browsing</w:t>
      </w:r>
    </w:p>
    <w:p>
      <w:pPr>
        <w:pStyle w:val="80"/>
        <w:spacing w:line="276" w:lineRule="auto"/>
        <w:ind w:firstLineChars="0"/>
        <w:rPr>
          <w:rFonts w:ascii="宋体" w:hAnsi="宋体"/>
          <w:color w:val="auto"/>
          <w:sz w:val="24"/>
          <w:szCs w:val="24"/>
          <w:highlight w:val="none"/>
        </w:rPr>
      </w:pPr>
      <w:r>
        <w:rPr>
          <w:rFonts w:hint="eastAsia" w:ascii="宋体" w:hAnsi="宋体"/>
          <w:color w:val="auto"/>
          <w:sz w:val="24"/>
          <w:szCs w:val="24"/>
          <w:highlight w:val="none"/>
        </w:rPr>
        <w:t>通过主站远程浏览变电站内的图形和数据，实现对变电站的远程监视。</w:t>
      </w:r>
    </w:p>
    <w:p>
      <w:pPr>
        <w:pStyle w:val="5"/>
        <w:rPr>
          <w:color w:val="auto"/>
          <w:sz w:val="24"/>
          <w:szCs w:val="24"/>
          <w:highlight w:val="none"/>
        </w:rPr>
      </w:pPr>
      <w:r>
        <w:rPr>
          <w:rFonts w:hint="eastAsia"/>
          <w:color w:val="auto"/>
          <w:sz w:val="24"/>
          <w:szCs w:val="24"/>
          <w:highlight w:val="none"/>
        </w:rPr>
        <w:t>源端维护 distributed model maintenance</w:t>
      </w:r>
    </w:p>
    <w:p>
      <w:pPr>
        <w:pStyle w:val="80"/>
        <w:spacing w:line="276" w:lineRule="auto"/>
        <w:ind w:firstLineChars="0"/>
        <w:rPr>
          <w:rFonts w:ascii="宋体" w:hAnsi="宋体"/>
          <w:color w:val="auto"/>
          <w:sz w:val="24"/>
          <w:szCs w:val="24"/>
          <w:highlight w:val="none"/>
        </w:rPr>
      </w:pPr>
      <w:r>
        <w:rPr>
          <w:rFonts w:hint="eastAsia" w:ascii="宋体" w:hAnsi="宋体"/>
          <w:color w:val="auto"/>
          <w:sz w:val="24"/>
          <w:szCs w:val="24"/>
          <w:highlight w:val="none"/>
        </w:rPr>
        <w:t>在变电站端维护变电站模型、图形、远动数据点表与主站的对应关系，以简化配置与调试，提高数据的一致性。</w:t>
      </w:r>
    </w:p>
    <w:p>
      <w:pPr>
        <w:pStyle w:val="5"/>
        <w:rPr>
          <w:color w:val="auto"/>
          <w:sz w:val="24"/>
          <w:szCs w:val="24"/>
          <w:highlight w:val="none"/>
        </w:rPr>
      </w:pPr>
      <w:r>
        <w:rPr>
          <w:rFonts w:hint="eastAsia"/>
          <w:color w:val="auto"/>
          <w:sz w:val="24"/>
          <w:szCs w:val="24"/>
          <w:highlight w:val="none"/>
        </w:rPr>
        <w:t>顺序控制 sequence control</w:t>
      </w:r>
    </w:p>
    <w:p>
      <w:pPr>
        <w:pStyle w:val="80"/>
        <w:spacing w:line="276" w:lineRule="auto"/>
        <w:ind w:firstLineChars="0"/>
        <w:rPr>
          <w:rFonts w:ascii="宋体" w:hAnsi="宋体"/>
          <w:color w:val="auto"/>
          <w:sz w:val="24"/>
          <w:szCs w:val="24"/>
          <w:highlight w:val="none"/>
        </w:rPr>
      </w:pPr>
      <w:r>
        <w:rPr>
          <w:rFonts w:hint="eastAsia" w:ascii="宋体" w:hAnsi="宋体"/>
          <w:color w:val="auto"/>
          <w:sz w:val="24"/>
          <w:szCs w:val="24"/>
          <w:highlight w:val="none"/>
        </w:rPr>
        <w:t>一种控制命令的批处理方式，即按照一定的时序，逐条发出指令、逐条确认指令被正确执行，直至完成全部指令的执行。</w:t>
      </w:r>
    </w:p>
    <w:p>
      <w:pPr>
        <w:pStyle w:val="3"/>
        <w:rPr>
          <w:color w:val="auto"/>
          <w:sz w:val="24"/>
          <w:szCs w:val="24"/>
          <w:highlight w:val="none"/>
        </w:rPr>
      </w:pPr>
      <w:bookmarkStart w:id="15" w:name="_Toc49258131"/>
      <w:r>
        <w:rPr>
          <w:rFonts w:hint="eastAsia"/>
          <w:color w:val="auto"/>
          <w:sz w:val="24"/>
          <w:szCs w:val="24"/>
          <w:highlight w:val="none"/>
        </w:rPr>
        <w:t>缩略语</w:t>
      </w:r>
      <w:bookmarkEnd w:id="15"/>
    </w:p>
    <w:p>
      <w:pPr>
        <w:pStyle w:val="80"/>
        <w:spacing w:line="276" w:lineRule="auto"/>
        <w:ind w:firstLine="480"/>
        <w:rPr>
          <w:rFonts w:ascii="宋体" w:hAnsi="宋体"/>
          <w:color w:val="auto"/>
          <w:sz w:val="24"/>
          <w:szCs w:val="24"/>
          <w:highlight w:val="none"/>
        </w:rPr>
      </w:pPr>
      <w:r>
        <w:rPr>
          <w:rFonts w:hint="eastAsia" w:ascii="宋体" w:hAnsi="宋体"/>
          <w:color w:val="auto"/>
          <w:sz w:val="24"/>
          <w:szCs w:val="24"/>
          <w:highlight w:val="none"/>
        </w:rPr>
        <w:t>CIM Common Information Model（公共信息模型）</w:t>
      </w:r>
    </w:p>
    <w:p>
      <w:pPr>
        <w:pStyle w:val="80"/>
        <w:spacing w:line="276" w:lineRule="auto"/>
        <w:ind w:firstLine="480"/>
        <w:rPr>
          <w:rFonts w:ascii="宋体" w:hAnsi="宋体"/>
          <w:color w:val="auto"/>
          <w:sz w:val="24"/>
          <w:szCs w:val="24"/>
          <w:highlight w:val="none"/>
        </w:rPr>
      </w:pPr>
      <w:r>
        <w:rPr>
          <w:rFonts w:hint="eastAsia" w:ascii="宋体" w:hAnsi="宋体"/>
          <w:color w:val="auto"/>
          <w:sz w:val="24"/>
          <w:szCs w:val="24"/>
          <w:highlight w:val="none"/>
        </w:rPr>
        <w:t>EMS Energy Management System（能量管理系统）</w:t>
      </w:r>
    </w:p>
    <w:p>
      <w:pPr>
        <w:pStyle w:val="80"/>
        <w:spacing w:line="276" w:lineRule="auto"/>
        <w:ind w:firstLine="480"/>
        <w:rPr>
          <w:rFonts w:ascii="宋体" w:hAnsi="宋体"/>
          <w:color w:val="auto"/>
          <w:sz w:val="24"/>
          <w:szCs w:val="24"/>
          <w:highlight w:val="none"/>
        </w:rPr>
      </w:pPr>
      <w:r>
        <w:rPr>
          <w:rFonts w:hint="eastAsia" w:ascii="宋体" w:hAnsi="宋体"/>
          <w:color w:val="auto"/>
          <w:sz w:val="24"/>
          <w:szCs w:val="24"/>
          <w:highlight w:val="none"/>
        </w:rPr>
        <w:t>IED Intelligent Electronic Device（智能电子设备）</w:t>
      </w:r>
    </w:p>
    <w:p>
      <w:pPr>
        <w:pStyle w:val="80"/>
        <w:spacing w:line="276" w:lineRule="auto"/>
        <w:ind w:firstLine="480"/>
        <w:rPr>
          <w:rFonts w:ascii="宋体" w:hAnsi="宋体"/>
          <w:color w:val="auto"/>
          <w:sz w:val="24"/>
          <w:szCs w:val="24"/>
          <w:highlight w:val="none"/>
        </w:rPr>
      </w:pPr>
      <w:r>
        <w:rPr>
          <w:rFonts w:hint="eastAsia" w:ascii="宋体" w:hAnsi="宋体"/>
          <w:color w:val="auto"/>
          <w:sz w:val="24"/>
          <w:szCs w:val="24"/>
          <w:highlight w:val="none"/>
        </w:rPr>
        <w:t>PMU Phasor Measurement Unit（同步相量测量装置）</w:t>
      </w:r>
    </w:p>
    <w:p>
      <w:pPr>
        <w:pStyle w:val="80"/>
        <w:spacing w:line="276" w:lineRule="auto"/>
        <w:ind w:firstLine="480"/>
        <w:rPr>
          <w:rFonts w:ascii="宋体" w:hAnsi="宋体"/>
          <w:color w:val="auto"/>
          <w:sz w:val="24"/>
          <w:szCs w:val="24"/>
          <w:highlight w:val="none"/>
        </w:rPr>
      </w:pPr>
      <w:r>
        <w:rPr>
          <w:rFonts w:hint="eastAsia" w:ascii="宋体" w:hAnsi="宋体"/>
          <w:color w:val="auto"/>
          <w:sz w:val="24"/>
          <w:szCs w:val="24"/>
          <w:highlight w:val="none"/>
        </w:rPr>
        <w:t>SVG Scalable Vector Graphics（可缩放矢量图形）</w:t>
      </w:r>
    </w:p>
    <w:p>
      <w:pPr>
        <w:pStyle w:val="80"/>
        <w:spacing w:line="276" w:lineRule="auto"/>
        <w:ind w:firstLineChars="0"/>
        <w:rPr>
          <w:rFonts w:ascii="宋体" w:hAnsi="宋体"/>
          <w:color w:val="auto"/>
          <w:sz w:val="24"/>
          <w:szCs w:val="24"/>
          <w:highlight w:val="none"/>
        </w:rPr>
      </w:pPr>
      <w:r>
        <w:rPr>
          <w:rFonts w:hint="eastAsia" w:ascii="宋体" w:hAnsi="宋体"/>
          <w:color w:val="auto"/>
          <w:sz w:val="24"/>
          <w:szCs w:val="24"/>
          <w:highlight w:val="none"/>
        </w:rPr>
        <w:t>WAMS Wide Area Measurement System（广域相量测量系统）</w:t>
      </w:r>
    </w:p>
    <w:p>
      <w:pPr>
        <w:pStyle w:val="80"/>
        <w:spacing w:line="276" w:lineRule="auto"/>
        <w:ind w:firstLineChars="0"/>
        <w:rPr>
          <w:rFonts w:ascii="宋体" w:hAnsi="宋体"/>
          <w:color w:val="auto"/>
          <w:sz w:val="24"/>
          <w:szCs w:val="24"/>
          <w:highlight w:val="none"/>
        </w:rPr>
      </w:pPr>
    </w:p>
    <w:p>
      <w:pPr>
        <w:pStyle w:val="2"/>
        <w:rPr>
          <w:color w:val="auto"/>
          <w:sz w:val="24"/>
          <w:szCs w:val="24"/>
          <w:highlight w:val="none"/>
        </w:rPr>
      </w:pPr>
      <w:bookmarkStart w:id="16" w:name="_Toc49258132"/>
      <w:r>
        <w:rPr>
          <w:rFonts w:hint="eastAsia"/>
          <w:color w:val="auto"/>
          <w:sz w:val="24"/>
          <w:szCs w:val="24"/>
          <w:highlight w:val="none"/>
        </w:rPr>
        <w:t>送检要求</w:t>
      </w:r>
      <w:bookmarkEnd w:id="16"/>
    </w:p>
    <w:p>
      <w:pPr>
        <w:pStyle w:val="3"/>
        <w:rPr>
          <w:color w:val="auto"/>
          <w:sz w:val="24"/>
          <w:szCs w:val="24"/>
          <w:highlight w:val="none"/>
        </w:rPr>
      </w:pPr>
      <w:bookmarkStart w:id="17" w:name="_Toc49258133"/>
      <w:r>
        <w:rPr>
          <w:rFonts w:hint="eastAsia"/>
          <w:color w:val="auto"/>
          <w:sz w:val="24"/>
          <w:szCs w:val="24"/>
          <w:highlight w:val="none"/>
        </w:rPr>
        <w:t>厂商资质要求</w:t>
      </w:r>
      <w:bookmarkEnd w:id="17"/>
    </w:p>
    <w:p>
      <w:pPr>
        <w:spacing w:line="276" w:lineRule="auto"/>
        <w:ind w:firstLine="480" w:firstLineChars="200"/>
        <w:rPr>
          <w:color w:val="auto"/>
          <w:sz w:val="24"/>
          <w:highlight w:val="none"/>
        </w:rPr>
      </w:pPr>
      <w:r>
        <w:rPr>
          <w:color w:val="auto"/>
          <w:sz w:val="24"/>
          <w:highlight w:val="none"/>
        </w:rPr>
        <w:t>1）</w:t>
      </w:r>
      <w:r>
        <w:rPr>
          <w:rFonts w:hint="eastAsia"/>
          <w:color w:val="auto"/>
          <w:sz w:val="24"/>
          <w:highlight w:val="none"/>
        </w:rPr>
        <w:t>应具备质检部门的认可文件、ISO-9001质量认证书或相当的认证文件。</w:t>
      </w:r>
    </w:p>
    <w:p>
      <w:pPr>
        <w:spacing w:line="276" w:lineRule="auto"/>
        <w:ind w:firstLine="480" w:firstLineChars="200"/>
        <w:rPr>
          <w:color w:val="auto"/>
          <w:sz w:val="24"/>
          <w:highlight w:val="none"/>
        </w:rPr>
      </w:pPr>
      <w:r>
        <w:rPr>
          <w:color w:val="auto"/>
          <w:sz w:val="24"/>
          <w:highlight w:val="none"/>
        </w:rPr>
        <w:t>2）</w:t>
      </w:r>
      <w:r>
        <w:rPr>
          <w:rFonts w:hint="eastAsia"/>
          <w:color w:val="auto"/>
          <w:sz w:val="24"/>
          <w:highlight w:val="none"/>
        </w:rPr>
        <w:t>应具备在国家或电力行业级检验检测机构（具有CMA和CNAS资质）开展的型式试验并出具有效期内的检验报告。</w:t>
      </w:r>
    </w:p>
    <w:p>
      <w:pPr>
        <w:spacing w:line="276" w:lineRule="auto"/>
        <w:ind w:firstLine="480" w:firstLineChars="200"/>
        <w:rPr>
          <w:color w:val="auto"/>
          <w:sz w:val="24"/>
          <w:highlight w:val="none"/>
        </w:rPr>
      </w:pPr>
      <w:r>
        <w:rPr>
          <w:rFonts w:hint="eastAsia"/>
          <w:color w:val="auto"/>
          <w:sz w:val="24"/>
          <w:highlight w:val="none"/>
        </w:rPr>
        <w:t>3）应具备3年以上相应电压等级的变电站自动化设备的设计、制造经验（相关证明文件和图文资料），不允许贴牌。</w:t>
      </w:r>
    </w:p>
    <w:p>
      <w:pPr>
        <w:pStyle w:val="3"/>
        <w:rPr>
          <w:color w:val="auto"/>
          <w:sz w:val="24"/>
          <w:szCs w:val="24"/>
          <w:highlight w:val="none"/>
        </w:rPr>
      </w:pPr>
      <w:bookmarkStart w:id="18" w:name="_Toc49258134"/>
      <w:r>
        <w:rPr>
          <w:rFonts w:hint="eastAsia"/>
          <w:color w:val="auto"/>
          <w:sz w:val="24"/>
          <w:szCs w:val="24"/>
          <w:highlight w:val="none"/>
        </w:rPr>
        <w:t>样品配置及包装要求</w:t>
      </w:r>
      <w:bookmarkEnd w:id="18"/>
    </w:p>
    <w:p>
      <w:pPr>
        <w:spacing w:line="276" w:lineRule="auto"/>
        <w:ind w:firstLine="480" w:firstLineChars="200"/>
        <w:rPr>
          <w:color w:val="auto"/>
          <w:sz w:val="24"/>
          <w:highlight w:val="none"/>
        </w:rPr>
      </w:pPr>
      <w:r>
        <w:rPr>
          <w:rFonts w:hint="eastAsia"/>
          <w:color w:val="auto"/>
          <w:sz w:val="24"/>
          <w:highlight w:val="none"/>
        </w:rPr>
        <w:t>1）厂商送检样品按照招标标的要求送检，具体设备清单如表1。</w:t>
      </w:r>
    </w:p>
    <w:p>
      <w:pPr>
        <w:spacing w:line="276" w:lineRule="auto"/>
        <w:jc w:val="center"/>
        <w:rPr>
          <w:rFonts w:ascii="宋体" w:hAnsi="宋体"/>
          <w:color w:val="auto"/>
          <w:szCs w:val="21"/>
          <w:highlight w:val="none"/>
        </w:rPr>
      </w:pPr>
      <w:r>
        <w:rPr>
          <w:rFonts w:hint="eastAsia" w:ascii="宋体" w:hAnsi="宋体"/>
          <w:color w:val="auto"/>
          <w:szCs w:val="21"/>
          <w:highlight w:val="none"/>
        </w:rPr>
        <w:t>表1 智能远动机送检设备清单</w:t>
      </w:r>
    </w:p>
    <w:tbl>
      <w:tblPr>
        <w:tblStyle w:val="48"/>
        <w:tblW w:w="8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1"/>
        <w:gridCol w:w="1987"/>
        <w:gridCol w:w="4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olor w:val="auto"/>
                <w:szCs w:val="21"/>
                <w:highlight w:val="none"/>
              </w:rPr>
            </w:pPr>
            <w:r>
              <w:rPr>
                <w:rFonts w:hint="eastAsia" w:ascii="宋体" w:hAnsi="宋体"/>
                <w:color w:val="auto"/>
                <w:szCs w:val="21"/>
                <w:highlight w:val="none"/>
              </w:rPr>
              <w:t>设备名称</w:t>
            </w:r>
          </w:p>
        </w:tc>
        <w:tc>
          <w:tcPr>
            <w:tcW w:w="198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olor w:val="auto"/>
                <w:szCs w:val="21"/>
                <w:highlight w:val="none"/>
              </w:rPr>
            </w:pPr>
            <w:r>
              <w:rPr>
                <w:rFonts w:hint="eastAsia" w:ascii="宋体" w:hAnsi="宋体"/>
                <w:color w:val="auto"/>
                <w:szCs w:val="21"/>
                <w:highlight w:val="none"/>
              </w:rPr>
              <w:t>数量</w:t>
            </w:r>
          </w:p>
        </w:tc>
        <w:tc>
          <w:tcPr>
            <w:tcW w:w="422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olor w:val="auto"/>
                <w:szCs w:val="21"/>
                <w:highlight w:val="none"/>
              </w:rPr>
            </w:pPr>
            <w:r>
              <w:rPr>
                <w:rFonts w:hint="eastAsia" w:ascii="宋体" w:hAnsi="宋体"/>
                <w:color w:val="auto"/>
                <w:szCs w:val="21"/>
                <w:highlight w:val="none"/>
              </w:rPr>
              <w:t>智能远动机</w:t>
            </w:r>
          </w:p>
        </w:tc>
        <w:tc>
          <w:tcPr>
            <w:tcW w:w="198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olor w:val="auto"/>
                <w:szCs w:val="21"/>
                <w:highlight w:val="none"/>
              </w:rPr>
            </w:pPr>
            <w:r>
              <w:rPr>
                <w:rFonts w:hint="eastAsia" w:ascii="宋体" w:hAnsi="宋体"/>
                <w:color w:val="auto"/>
                <w:szCs w:val="21"/>
                <w:highlight w:val="none"/>
              </w:rPr>
              <w:t>2台</w:t>
            </w:r>
          </w:p>
        </w:tc>
        <w:tc>
          <w:tcPr>
            <w:tcW w:w="4221" w:type="dxa"/>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color w:val="auto"/>
                <w:szCs w:val="21"/>
                <w:highlight w:val="none"/>
              </w:rPr>
            </w:pPr>
            <w:r>
              <w:rPr>
                <w:rFonts w:hint="eastAsia" w:ascii="宋体" w:hAnsi="宋体"/>
                <w:color w:val="auto"/>
                <w:szCs w:val="21"/>
                <w:highlight w:val="none"/>
              </w:rPr>
              <w:t>双机冗余配置</w:t>
            </w:r>
          </w:p>
        </w:tc>
      </w:tr>
    </w:tbl>
    <w:p>
      <w:pPr>
        <w:spacing w:line="276" w:lineRule="auto"/>
        <w:ind w:firstLine="480" w:firstLineChars="200"/>
        <w:rPr>
          <w:color w:val="auto"/>
          <w:sz w:val="24"/>
          <w:highlight w:val="none"/>
        </w:rPr>
      </w:pPr>
    </w:p>
    <w:p>
      <w:pPr>
        <w:spacing w:line="276" w:lineRule="auto"/>
        <w:ind w:firstLine="480" w:firstLineChars="200"/>
        <w:rPr>
          <w:color w:val="auto"/>
          <w:sz w:val="24"/>
          <w:highlight w:val="none"/>
        </w:rPr>
      </w:pPr>
      <w:r>
        <w:rPr>
          <w:color w:val="auto"/>
          <w:sz w:val="24"/>
          <w:highlight w:val="none"/>
        </w:rPr>
        <w:t>2）</w:t>
      </w:r>
      <w:r>
        <w:rPr>
          <w:rFonts w:hint="eastAsia"/>
          <w:color w:val="auto"/>
          <w:sz w:val="24"/>
          <w:highlight w:val="none"/>
        </w:rPr>
        <w:t>送检样品同种型号的产品应具有相同的外形尺寸、软件版本号、接口配置，每台智能远动机应具有独立出厂编号，并具有出厂合格证。</w:t>
      </w:r>
    </w:p>
    <w:p>
      <w:pPr>
        <w:spacing w:line="276" w:lineRule="auto"/>
        <w:ind w:firstLine="480" w:firstLineChars="200"/>
        <w:rPr>
          <w:color w:val="auto"/>
          <w:sz w:val="24"/>
          <w:highlight w:val="none"/>
        </w:rPr>
      </w:pPr>
      <w:r>
        <w:rPr>
          <w:rFonts w:hint="eastAsia"/>
          <w:color w:val="auto"/>
          <w:sz w:val="24"/>
          <w:highlight w:val="none"/>
        </w:rPr>
        <w:t>3）所送检样品的元器件配置应与该型号实际应用产品配置保持完全一致，发现违反，取消两年内智能远动机准入测试资格。</w:t>
      </w:r>
    </w:p>
    <w:p>
      <w:pPr>
        <w:spacing w:line="276" w:lineRule="auto"/>
        <w:ind w:firstLine="480" w:firstLineChars="200"/>
        <w:rPr>
          <w:color w:val="auto"/>
          <w:sz w:val="24"/>
          <w:highlight w:val="none"/>
        </w:rPr>
      </w:pPr>
      <w:r>
        <w:rPr>
          <w:rFonts w:hint="eastAsia"/>
          <w:color w:val="auto"/>
          <w:sz w:val="24"/>
          <w:highlight w:val="none"/>
        </w:rPr>
        <w:t>4）送检样品上应标注产品名称、型号、制造厂名、序列号和端子接口标识。</w:t>
      </w:r>
    </w:p>
    <w:p>
      <w:pPr>
        <w:spacing w:line="276" w:lineRule="auto"/>
        <w:ind w:firstLine="480" w:firstLineChars="200"/>
        <w:rPr>
          <w:color w:val="auto"/>
          <w:sz w:val="24"/>
          <w:highlight w:val="none"/>
        </w:rPr>
      </w:pPr>
      <w:r>
        <w:rPr>
          <w:rFonts w:hint="eastAsia"/>
          <w:color w:val="auto"/>
          <w:sz w:val="24"/>
          <w:highlight w:val="none"/>
        </w:rPr>
        <w:t>5）送检样品应配有“一书三册”（技术说明书、设计安装手册、测试检修手册、运行操作手册），应与样品功能、性能一致，且应有设备清单（包含含设备名称、型号、程序版本号和时间等信息）。</w:t>
      </w:r>
    </w:p>
    <w:p>
      <w:pPr>
        <w:spacing w:line="276" w:lineRule="auto"/>
        <w:ind w:firstLine="480" w:firstLineChars="200"/>
        <w:rPr>
          <w:color w:val="auto"/>
          <w:sz w:val="24"/>
          <w:highlight w:val="none"/>
        </w:rPr>
      </w:pPr>
      <w:r>
        <w:rPr>
          <w:rFonts w:hint="eastAsia"/>
          <w:color w:val="auto"/>
          <w:sz w:val="24"/>
          <w:highlight w:val="none"/>
        </w:rPr>
        <w:t>6）外包装箱应有防尘、防雨、防震措施。包装前应将活动部分加以固定，外部用防水材料包裹，并以硬质泡沫塑料包装件可靠固定于包装盒内，随机文件、附件及易损件等应按制造商企业标准或说明书的规定检查齐全后一并装入。</w:t>
      </w:r>
    </w:p>
    <w:p>
      <w:pPr>
        <w:spacing w:line="276" w:lineRule="auto"/>
        <w:ind w:firstLine="480" w:firstLineChars="200"/>
        <w:rPr>
          <w:color w:val="auto"/>
          <w:sz w:val="24"/>
          <w:highlight w:val="none"/>
        </w:rPr>
      </w:pPr>
      <w:r>
        <w:rPr>
          <w:rFonts w:hint="eastAsia"/>
          <w:color w:val="auto"/>
          <w:sz w:val="24"/>
          <w:highlight w:val="none"/>
        </w:rPr>
        <w:t>7）参检厂商应根据本标准测试内容提供产品信息，包括主体部件、主要芯片及其他零部件的情况，登记送检设备信息及关键元器件信息，具体信息参见8</w:t>
      </w:r>
      <w:r>
        <w:rPr>
          <w:color w:val="auto"/>
          <w:sz w:val="24"/>
          <w:highlight w:val="none"/>
        </w:rPr>
        <w:t>.2章节，相关信息可根据实际情况增加</w:t>
      </w:r>
      <w:r>
        <w:rPr>
          <w:rFonts w:hint="eastAsia"/>
          <w:color w:val="auto"/>
          <w:sz w:val="24"/>
          <w:highlight w:val="none"/>
        </w:rPr>
        <w:t>。</w:t>
      </w:r>
    </w:p>
    <w:p>
      <w:pPr>
        <w:pStyle w:val="3"/>
        <w:rPr>
          <w:color w:val="auto"/>
          <w:highlight w:val="none"/>
        </w:rPr>
      </w:pPr>
      <w:bookmarkStart w:id="19" w:name="_Toc49258135"/>
      <w:r>
        <w:rPr>
          <w:rFonts w:hint="eastAsia"/>
          <w:color w:val="auto"/>
          <w:highlight w:val="none"/>
        </w:rPr>
        <w:t>送检设备信息登记要求</w:t>
      </w:r>
      <w:bookmarkEnd w:id="19"/>
    </w:p>
    <w:p>
      <w:pPr>
        <w:spacing w:line="276" w:lineRule="auto"/>
        <w:ind w:firstLine="420" w:firstLineChars="200"/>
        <w:rPr>
          <w:b/>
          <w:color w:val="auto"/>
          <w:highlight w:val="none"/>
        </w:rPr>
      </w:pPr>
      <w:r>
        <w:rPr>
          <w:rFonts w:hint="eastAsia" w:ascii="宋体" w:hAnsi="宋体"/>
          <w:color w:val="auto"/>
          <w:szCs w:val="21"/>
          <w:highlight w:val="none"/>
        </w:rPr>
        <w:t>参检厂商应根据本标准测试内容提供产品信息，包括主体部件、主要芯片及其他零部件的情况，登记送检设备信息（见表3-1）及关键元器件信息（见表3-2），相关信息可根据实际情况增加。</w:t>
      </w:r>
    </w:p>
    <w:p>
      <w:pPr>
        <w:pStyle w:val="15"/>
        <w:jc w:val="center"/>
        <w:rPr>
          <w:color w:val="auto"/>
          <w:sz w:val="21"/>
          <w:highlight w:val="none"/>
        </w:rPr>
      </w:pPr>
      <w:r>
        <w:rPr>
          <w:rFonts w:hint="eastAsia"/>
          <w:color w:val="auto"/>
          <w:sz w:val="21"/>
          <w:highlight w:val="none"/>
        </w:rPr>
        <w:t>表</w:t>
      </w:r>
      <w:r>
        <w:rPr>
          <w:color w:val="auto"/>
          <w:sz w:val="21"/>
          <w:highlight w:val="none"/>
        </w:rPr>
        <w:t>4</w:t>
      </w:r>
      <w:r>
        <w:rPr>
          <w:color w:val="auto"/>
          <w:sz w:val="21"/>
          <w:highlight w:val="none"/>
        </w:rPr>
        <w:noBreakHyphen/>
      </w:r>
      <w:r>
        <w:rPr>
          <w:color w:val="auto"/>
          <w:sz w:val="21"/>
          <w:highlight w:val="none"/>
        </w:rPr>
        <w:t xml:space="preserve">1 </w:t>
      </w:r>
      <w:r>
        <w:rPr>
          <w:rFonts w:hint="eastAsia"/>
          <w:color w:val="auto"/>
          <w:sz w:val="21"/>
          <w:highlight w:val="none"/>
        </w:rPr>
        <w:t>送检设备信息表</w:t>
      </w:r>
    </w:p>
    <w:tbl>
      <w:tblPr>
        <w:tblStyle w:val="48"/>
        <w:tblW w:w="8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9"/>
        <w:gridCol w:w="1643"/>
        <w:gridCol w:w="3783"/>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tblHeader/>
          <w:jc w:val="center"/>
        </w:trPr>
        <w:tc>
          <w:tcPr>
            <w:tcW w:w="999"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序号</w:t>
            </w: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登记项目</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信息</w:t>
            </w:r>
          </w:p>
        </w:tc>
        <w:tc>
          <w:tcPr>
            <w:tcW w:w="1897"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型号名称</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color w:val="auto"/>
                <w:highlight w:val="none"/>
              </w:rPr>
              <w:t>（注明具体</w:t>
            </w:r>
            <w:r>
              <w:rPr>
                <w:color w:val="auto"/>
                <w:highlight w:val="none"/>
              </w:rPr>
              <w:t>型号</w:t>
            </w:r>
            <w:r>
              <w:rPr>
                <w:rFonts w:hint="eastAsia"/>
                <w:color w:val="auto"/>
                <w:highlight w:val="none"/>
              </w:rPr>
              <w:t>及名称）</w:t>
            </w:r>
          </w:p>
        </w:tc>
        <w:tc>
          <w:tcPr>
            <w:tcW w:w="1897" w:type="dxa"/>
            <w:tcBorders>
              <w:top w:val="single" w:color="auto" w:sz="4" w:space="0"/>
              <w:left w:val="single" w:color="auto" w:sz="4" w:space="0"/>
              <w:bottom w:val="single" w:color="auto" w:sz="4" w:space="0"/>
              <w:right w:val="single" w:color="auto" w:sz="4" w:space="0"/>
            </w:tcBorders>
          </w:tcPr>
          <w:p>
            <w:pPr>
              <w:jc w:val="center"/>
              <w:rPr>
                <w:b/>
                <w:color w:val="auto"/>
                <w:highlight w:val="none"/>
              </w:rPr>
            </w:pPr>
          </w:p>
        </w:tc>
      </w:tr>
      <w:tr>
        <w:tblPrEx>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软件版本</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color w:val="auto"/>
                <w:highlight w:val="none"/>
              </w:rPr>
              <w:t>（注明</w:t>
            </w:r>
            <w:r>
              <w:rPr>
                <w:color w:val="auto"/>
                <w:highlight w:val="none"/>
              </w:rPr>
              <w:t>软件版本</w:t>
            </w:r>
            <w:r>
              <w:rPr>
                <w:rFonts w:hint="eastAsia"/>
                <w:color w:val="auto"/>
                <w:highlight w:val="none"/>
              </w:rPr>
              <w:t>及校验码）</w:t>
            </w:r>
          </w:p>
        </w:tc>
        <w:tc>
          <w:tcPr>
            <w:tcW w:w="1897" w:type="dxa"/>
            <w:tcBorders>
              <w:top w:val="single" w:color="auto" w:sz="4" w:space="0"/>
              <w:left w:val="single" w:color="auto" w:sz="4" w:space="0"/>
              <w:bottom w:val="single" w:color="auto" w:sz="4" w:space="0"/>
              <w:right w:val="single" w:color="auto" w:sz="4" w:space="0"/>
            </w:tcBorders>
          </w:tcPr>
          <w:p>
            <w:pPr>
              <w:jc w:val="center"/>
              <w:rPr>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bookmarkStart w:id="20" w:name="OLE_LINK2"/>
            <w:bookmarkStart w:id="21" w:name="_Hlk354039240"/>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调试软件</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color w:val="auto"/>
                <w:highlight w:val="none"/>
              </w:rPr>
              <w:t>（型号/版本）</w:t>
            </w:r>
          </w:p>
        </w:tc>
        <w:tc>
          <w:tcPr>
            <w:tcW w:w="1897" w:type="dxa"/>
            <w:tcBorders>
              <w:top w:val="single" w:color="auto" w:sz="4" w:space="0"/>
              <w:left w:val="single" w:color="auto" w:sz="4" w:space="0"/>
              <w:bottom w:val="single" w:color="auto" w:sz="4" w:space="0"/>
              <w:right w:val="single" w:color="auto" w:sz="4" w:space="0"/>
            </w:tcBorders>
          </w:tcPr>
          <w:p>
            <w:pPr>
              <w:jc w:val="center"/>
              <w:rPr>
                <w:b/>
                <w:color w:val="auto"/>
                <w:highlight w:val="none"/>
              </w:rPr>
            </w:pPr>
          </w:p>
        </w:tc>
      </w:tr>
      <w:bookmarkEnd w:id="20"/>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外观尺寸</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（长*宽*高）</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整机重量</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（kg）</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材质</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（外壳材质）</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防护等级</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（防水/防尘）</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指示灯</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（描述指示灯数量及用途）</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告警节点</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（告警类型/节点数）</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电源配置</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（电源兼容电压/电源数量）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出线情况</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（前出线、后出线）</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百兆光口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（光模块品牌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千兆光口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（光模块品牌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百兆电口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千兆电口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支持数量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color w:val="auto"/>
                <w:highlight w:val="none"/>
              </w:rPr>
              <w:t>CPU</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工业级证明</w:t>
            </w:r>
            <w:r>
              <w:rPr>
                <w:color w:val="auto"/>
                <w:highlight w:val="none"/>
              </w:rPr>
              <w:t>/</w:t>
            </w:r>
            <w:r>
              <w:rPr>
                <w:rFonts w:hint="eastAsia"/>
                <w:color w:val="auto"/>
                <w:highlight w:val="none"/>
              </w:rPr>
              <w:t>交换容量）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内存</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标称容量）</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交换芯片</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主频）</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电容</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（电容类型）</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电源模块</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（品牌</w:t>
            </w:r>
            <w:r>
              <w:rPr>
                <w:color w:val="auto"/>
                <w:highlight w:val="none"/>
              </w:rPr>
              <w:t>/</w:t>
            </w:r>
            <w:r>
              <w:rPr>
                <w:rFonts w:hint="eastAsia"/>
                <w:color w:val="auto"/>
                <w:highlight w:val="none"/>
              </w:rPr>
              <w:t>型号</w:t>
            </w:r>
            <w:r>
              <w:rPr>
                <w:color w:val="auto"/>
                <w:highlight w:val="none"/>
              </w:rPr>
              <w:t>/</w:t>
            </w:r>
            <w:r>
              <w:rPr>
                <w:rFonts w:hint="eastAsia"/>
                <w:color w:val="auto"/>
                <w:highlight w:val="none"/>
              </w:rPr>
              <w:t>工作范围）</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color w:val="auto"/>
                <w:highlight w:val="none"/>
              </w:rPr>
              <w:t>Console</w:t>
            </w:r>
            <w:r>
              <w:rPr>
                <w:rFonts w:hint="eastAsia"/>
                <w:color w:val="auto"/>
                <w:highlight w:val="none"/>
              </w:rPr>
              <w:t>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（有无</w:t>
            </w:r>
            <w:r>
              <w:rPr>
                <w:color w:val="auto"/>
                <w:highlight w:val="none"/>
              </w:rPr>
              <w:t>/</w:t>
            </w:r>
            <w:r>
              <w:rPr>
                <w:rFonts w:hint="eastAsia"/>
                <w:color w:val="auto"/>
                <w:highlight w:val="none"/>
              </w:rPr>
              <w:t>接口类型）</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快速配置接口</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（有无</w:t>
            </w:r>
            <w:r>
              <w:rPr>
                <w:color w:val="auto"/>
                <w:highlight w:val="none"/>
              </w:rPr>
              <w:t>/</w:t>
            </w:r>
            <w:r>
              <w:rPr>
                <w:rFonts w:hint="eastAsia"/>
                <w:color w:val="auto"/>
                <w:highlight w:val="none"/>
              </w:rPr>
              <w:t>接口类型）</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8"/>
              </w:numPr>
              <w:tabs>
                <w:tab w:val="left" w:pos="360"/>
                <w:tab w:val="left" w:pos="1080"/>
              </w:tabs>
              <w:jc w:val="center"/>
              <w:rPr>
                <w:color w:val="auto"/>
                <w:highlight w:val="none"/>
              </w:rPr>
            </w:pPr>
          </w:p>
        </w:tc>
        <w:tc>
          <w:tcPr>
            <w:tcW w:w="164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扩展槽位数量</w:t>
            </w:r>
          </w:p>
        </w:tc>
        <w:tc>
          <w:tcPr>
            <w:tcW w:w="3783"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（个数）</w:t>
            </w:r>
          </w:p>
        </w:tc>
        <w:tc>
          <w:tcPr>
            <w:tcW w:w="1897" w:type="dxa"/>
            <w:tcBorders>
              <w:top w:val="single" w:color="auto" w:sz="4" w:space="0"/>
              <w:left w:val="single" w:color="auto" w:sz="4" w:space="0"/>
              <w:bottom w:val="single" w:color="auto" w:sz="4" w:space="0"/>
              <w:right w:val="single" w:color="auto" w:sz="4" w:space="0"/>
            </w:tcBorders>
          </w:tcPr>
          <w:p>
            <w:pPr>
              <w:jc w:val="center"/>
              <w:rPr>
                <w:color w:val="auto"/>
                <w:highlight w:val="none"/>
              </w:rPr>
            </w:pPr>
          </w:p>
        </w:tc>
      </w:tr>
    </w:tbl>
    <w:p>
      <w:pPr>
        <w:pStyle w:val="15"/>
        <w:jc w:val="center"/>
        <w:rPr>
          <w:color w:val="auto"/>
          <w:highlight w:val="none"/>
        </w:rPr>
      </w:pPr>
    </w:p>
    <w:p>
      <w:pPr>
        <w:pStyle w:val="15"/>
        <w:jc w:val="center"/>
        <w:rPr>
          <w:color w:val="auto"/>
          <w:highlight w:val="none"/>
        </w:rPr>
      </w:pPr>
      <w:r>
        <w:rPr>
          <w:rFonts w:hint="eastAsia"/>
          <w:color w:val="auto"/>
          <w:highlight w:val="none"/>
        </w:rPr>
        <w:t>表</w:t>
      </w:r>
      <w:r>
        <w:rPr>
          <w:color w:val="auto"/>
          <w:highlight w:val="none"/>
        </w:rPr>
        <w:t>4</w:t>
      </w:r>
      <w:r>
        <w:rPr>
          <w:color w:val="auto"/>
          <w:highlight w:val="none"/>
        </w:rPr>
        <w:noBreakHyphen/>
      </w:r>
      <w:r>
        <w:rPr>
          <w:color w:val="auto"/>
          <w:highlight w:val="none"/>
        </w:rPr>
        <w:t xml:space="preserve">2 </w:t>
      </w:r>
      <w:r>
        <w:rPr>
          <w:rFonts w:hint="eastAsia"/>
          <w:color w:val="auto"/>
          <w:highlight w:val="none"/>
        </w:rPr>
        <w:t>关键元器件信息表</w:t>
      </w:r>
    </w:p>
    <w:tbl>
      <w:tblPr>
        <w:tblStyle w:val="48"/>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9"/>
        <w:gridCol w:w="1699"/>
        <w:gridCol w:w="2800"/>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序号</w:t>
            </w: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登记项目</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信息</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b/>
                <w:color w:val="auto"/>
                <w:highlight w:val="none"/>
              </w:rPr>
            </w:pPr>
            <w:r>
              <w:rPr>
                <w:rFonts w:hint="eastAsia"/>
                <w:b/>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产品型号名称</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highlight w:val="none"/>
              </w:rPr>
            </w:pPr>
            <w:r>
              <w:rPr>
                <w:rFonts w:hint="eastAsia"/>
                <w:color w:val="auto"/>
                <w:highlight w:val="none"/>
              </w:rPr>
              <w:t>CPU</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交换芯片</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PHY</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电源</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电容</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光模块</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（由厂家提供），配照片，如：生产厂家，国别，型号（包括尾缀），产品级别，如有多个供应商可分多行填写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1"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接线端子类型</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（由厂家提供），配照片，如有多个供应商可分多行填写</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PCB板</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（由厂家提供），主要描述PCB板工艺，产品级别</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8" w:hRule="atLeast"/>
          <w:jc w:val="center"/>
        </w:trPr>
        <w:tc>
          <w:tcPr>
            <w:tcW w:w="999" w:type="dxa"/>
            <w:tcBorders>
              <w:top w:val="single" w:color="auto" w:sz="4" w:space="0"/>
              <w:left w:val="single" w:color="auto" w:sz="4" w:space="0"/>
              <w:bottom w:val="single" w:color="auto" w:sz="4" w:space="0"/>
              <w:right w:val="single" w:color="auto" w:sz="4" w:space="0"/>
            </w:tcBorders>
            <w:vAlign w:val="center"/>
          </w:tcPr>
          <w:p>
            <w:pPr>
              <w:widowControl/>
              <w:numPr>
                <w:ilvl w:val="0"/>
                <w:numId w:val="29"/>
              </w:numPr>
              <w:tabs>
                <w:tab w:val="left" w:pos="360"/>
                <w:tab w:val="left" w:pos="1080"/>
              </w:tabs>
              <w:jc w:val="center"/>
              <w:rPr>
                <w:color w:val="auto"/>
                <w:highlight w:val="none"/>
              </w:rPr>
            </w:pPr>
          </w:p>
        </w:tc>
        <w:tc>
          <w:tcPr>
            <w:tcW w:w="1699"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模块化接口配置情况描述</w:t>
            </w:r>
          </w:p>
        </w:tc>
        <w:tc>
          <w:tcPr>
            <w:tcW w:w="280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（由厂家提供），每种模块均提供照片(如:百兆接口8个接口一组，可更换，接口可为RJ45、ST、SC或LC其中1种)</w:t>
            </w:r>
          </w:p>
        </w:tc>
        <w:tc>
          <w:tcPr>
            <w:tcW w:w="3036"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r>
    </w:tbl>
    <w:p>
      <w:pPr>
        <w:spacing w:line="276" w:lineRule="auto"/>
        <w:ind w:firstLine="480" w:firstLineChars="200"/>
        <w:rPr>
          <w:color w:val="auto"/>
          <w:sz w:val="24"/>
          <w:highlight w:val="none"/>
        </w:rPr>
      </w:pPr>
      <w:r>
        <w:rPr>
          <w:rFonts w:hint="eastAsia"/>
          <w:color w:val="auto"/>
          <w:sz w:val="24"/>
          <w:highlight w:val="none"/>
        </w:rPr>
        <w:t>注：每个型号单独填写一张表，元器件应注明产品级别（军工级，工业级，民品级）。</w:t>
      </w:r>
    </w:p>
    <w:p>
      <w:pPr>
        <w:pStyle w:val="2"/>
        <w:rPr>
          <w:color w:val="auto"/>
          <w:sz w:val="24"/>
          <w:szCs w:val="24"/>
          <w:highlight w:val="none"/>
        </w:rPr>
      </w:pPr>
      <w:bookmarkStart w:id="22" w:name="_Toc49258136"/>
      <w:bookmarkStart w:id="23" w:name="_Toc483341458"/>
      <w:bookmarkStart w:id="24" w:name="_Toc528273498"/>
      <w:r>
        <w:rPr>
          <w:rFonts w:hint="eastAsia"/>
          <w:color w:val="auto"/>
          <w:sz w:val="24"/>
          <w:szCs w:val="24"/>
          <w:highlight w:val="none"/>
        </w:rPr>
        <w:t>检测设备要求</w:t>
      </w:r>
      <w:bookmarkEnd w:id="22"/>
    </w:p>
    <w:p>
      <w:pPr>
        <w:spacing w:line="276" w:lineRule="auto"/>
        <w:ind w:firstLine="480" w:firstLineChars="200"/>
        <w:rPr>
          <w:color w:val="auto"/>
          <w:sz w:val="24"/>
          <w:highlight w:val="none"/>
        </w:rPr>
      </w:pPr>
      <w:r>
        <w:rPr>
          <w:rFonts w:hint="eastAsia"/>
          <w:color w:val="auto"/>
          <w:sz w:val="24"/>
          <w:highlight w:val="none"/>
        </w:rPr>
        <w:t>检测所使用的仪器、仪表应经具备资质的国家法定计量部门或其他法定授权单位检定合格，并在有效期内；所用仪器、仪表准确度等级应满足国家计量量值传递标准要求。</w:t>
      </w:r>
    </w:p>
    <w:p>
      <w:pPr>
        <w:pStyle w:val="2"/>
        <w:rPr>
          <w:color w:val="auto"/>
          <w:sz w:val="24"/>
          <w:szCs w:val="24"/>
          <w:highlight w:val="none"/>
        </w:rPr>
      </w:pPr>
      <w:bookmarkStart w:id="25" w:name="_Toc49258137"/>
      <w:r>
        <w:rPr>
          <w:rFonts w:hint="eastAsia"/>
          <w:color w:val="auto"/>
          <w:sz w:val="24"/>
          <w:szCs w:val="24"/>
          <w:highlight w:val="none"/>
        </w:rPr>
        <w:t>判定原则</w:t>
      </w:r>
      <w:bookmarkEnd w:id="23"/>
      <w:bookmarkEnd w:id="24"/>
      <w:bookmarkEnd w:id="25"/>
    </w:p>
    <w:p>
      <w:pPr>
        <w:spacing w:line="276" w:lineRule="auto"/>
        <w:ind w:firstLine="480" w:firstLineChars="200"/>
        <w:rPr>
          <w:color w:val="auto"/>
          <w:sz w:val="24"/>
          <w:highlight w:val="none"/>
        </w:rPr>
      </w:pPr>
      <w:r>
        <w:rPr>
          <w:rFonts w:hint="eastAsia"/>
          <w:color w:val="auto"/>
          <w:sz w:val="24"/>
          <w:highlight w:val="none"/>
        </w:rPr>
        <w:t>本检测标准根据远动模块、相量数据集中器模块、保信模块、计量模块测试结果来评定是否合格，其他模块作为评价项目（强制性项目除外），其中远动模块根据《中国南方电网有限责任公司变电站自动化系统送样检测标准（201</w:t>
      </w:r>
      <w:r>
        <w:rPr>
          <w:color w:val="auto"/>
          <w:sz w:val="24"/>
          <w:highlight w:val="none"/>
        </w:rPr>
        <w:t>8</w:t>
      </w:r>
      <w:r>
        <w:rPr>
          <w:rFonts w:hint="eastAsia"/>
          <w:color w:val="auto"/>
          <w:sz w:val="24"/>
          <w:highlight w:val="none"/>
        </w:rPr>
        <w:t>版）》中的远动功能要求评价、保信模块依据《中国南方电网有限责任公司201</w:t>
      </w:r>
      <w:r>
        <w:rPr>
          <w:color w:val="auto"/>
          <w:sz w:val="24"/>
          <w:highlight w:val="none"/>
        </w:rPr>
        <w:t>8</w:t>
      </w:r>
      <w:r>
        <w:rPr>
          <w:rFonts w:hint="eastAsia"/>
          <w:color w:val="auto"/>
          <w:sz w:val="24"/>
          <w:highlight w:val="none"/>
        </w:rPr>
        <w:t>年智能远动机保信功能送样检测标准》评价。</w:t>
      </w:r>
    </w:p>
    <w:p>
      <w:pPr>
        <w:spacing w:line="276" w:lineRule="auto"/>
        <w:ind w:firstLine="420"/>
        <w:rPr>
          <w:rFonts w:ascii="宋体" w:hAnsi="宋体"/>
          <w:color w:val="auto"/>
          <w:szCs w:val="21"/>
          <w:highlight w:val="none"/>
        </w:rPr>
      </w:pPr>
      <w:r>
        <w:rPr>
          <w:rFonts w:hint="eastAsia"/>
          <w:color w:val="auto"/>
          <w:sz w:val="24"/>
          <w:highlight w:val="none"/>
        </w:rPr>
        <w:t>本标准将检测项目分为</w:t>
      </w:r>
      <w:r>
        <w:rPr>
          <w:color w:val="auto"/>
          <w:sz w:val="24"/>
          <w:highlight w:val="none"/>
        </w:rPr>
        <w:t>3</w:t>
      </w:r>
      <w:r>
        <w:rPr>
          <w:rFonts w:hint="eastAsia"/>
          <w:color w:val="auto"/>
          <w:sz w:val="24"/>
          <w:highlight w:val="none"/>
        </w:rPr>
        <w:t>大项，即强制性项目质量检测、评价性项目质量检测和考察性项目，其中强制性项目全部合格后产品判定为合格。检测项目前面标“*”为强制性项目，备注为“考察项”的为考察性项目，其他则为评价性项目。</w:t>
      </w:r>
    </w:p>
    <w:p>
      <w:pPr>
        <w:pStyle w:val="2"/>
        <w:rPr>
          <w:color w:val="auto"/>
          <w:sz w:val="24"/>
          <w:szCs w:val="24"/>
          <w:highlight w:val="none"/>
        </w:rPr>
      </w:pPr>
      <w:bookmarkStart w:id="26" w:name="_Toc49258138"/>
      <w:bookmarkStart w:id="27" w:name="_Toc483341459"/>
      <w:bookmarkStart w:id="28" w:name="_Toc528273499"/>
      <w:r>
        <w:rPr>
          <w:rFonts w:hint="eastAsia"/>
          <w:color w:val="auto"/>
          <w:sz w:val="24"/>
          <w:szCs w:val="24"/>
          <w:highlight w:val="none"/>
        </w:rPr>
        <w:t>检验项目</w:t>
      </w:r>
      <w:bookmarkEnd w:id="26"/>
      <w:bookmarkEnd w:id="27"/>
      <w:bookmarkEnd w:id="28"/>
    </w:p>
    <w:p>
      <w:pPr>
        <w:pStyle w:val="3"/>
        <w:rPr>
          <w:color w:val="auto"/>
          <w:sz w:val="24"/>
          <w:szCs w:val="24"/>
          <w:highlight w:val="none"/>
        </w:rPr>
      </w:pPr>
      <w:bookmarkStart w:id="29" w:name="_Toc49258139"/>
      <w:bookmarkStart w:id="30" w:name="_Toc528273500"/>
      <w:r>
        <w:rPr>
          <w:rFonts w:hint="eastAsia"/>
          <w:color w:val="auto"/>
          <w:sz w:val="24"/>
          <w:szCs w:val="24"/>
          <w:highlight w:val="none"/>
        </w:rPr>
        <w:t>文件和配置检查</w:t>
      </w:r>
      <w:bookmarkEnd w:id="29"/>
      <w:bookmarkEnd w:id="30"/>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Cfg01</w:t>
            </w:r>
          </w:p>
        </w:tc>
        <w:tc>
          <w:tcPr>
            <w:tcW w:w="2410" w:type="dxa"/>
            <w:vAlign w:val="center"/>
          </w:tcPr>
          <w:p>
            <w:pPr>
              <w:rPr>
                <w:rFonts w:ascii="宋体" w:hAnsi="宋体"/>
                <w:color w:val="auto"/>
                <w:highlight w:val="none"/>
              </w:rPr>
            </w:pPr>
            <w:r>
              <w:rPr>
                <w:rFonts w:hint="eastAsia" w:ascii="宋体" w:hAnsi="宋体"/>
                <w:color w:val="auto"/>
                <w:highlight w:val="none"/>
              </w:rPr>
              <w:t>基本信息</w:t>
            </w:r>
          </w:p>
        </w:tc>
        <w:tc>
          <w:tcPr>
            <w:tcW w:w="5245" w:type="dxa"/>
            <w:vAlign w:val="center"/>
          </w:tcPr>
          <w:p>
            <w:pPr>
              <w:rPr>
                <w:rFonts w:ascii="宋体" w:hAnsi="宋体"/>
                <w:color w:val="auto"/>
                <w:highlight w:val="none"/>
              </w:rPr>
            </w:pPr>
            <w:r>
              <w:rPr>
                <w:rFonts w:hint="eastAsia" w:ascii="宋体" w:hAnsi="宋体"/>
                <w:color w:val="auto"/>
                <w:highlight w:val="none"/>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Cfg02</w:t>
            </w:r>
          </w:p>
        </w:tc>
        <w:tc>
          <w:tcPr>
            <w:tcW w:w="2410" w:type="dxa"/>
            <w:vAlign w:val="center"/>
          </w:tcPr>
          <w:p>
            <w:pPr>
              <w:rPr>
                <w:rFonts w:ascii="宋体" w:hAnsi="宋体"/>
                <w:color w:val="auto"/>
                <w:highlight w:val="none"/>
              </w:rPr>
            </w:pPr>
            <w:r>
              <w:rPr>
                <w:rFonts w:hint="eastAsia" w:ascii="宋体" w:hAnsi="宋体"/>
                <w:color w:val="auto"/>
                <w:highlight w:val="none"/>
              </w:rPr>
              <w:t>文档资料检查</w:t>
            </w:r>
          </w:p>
        </w:tc>
        <w:tc>
          <w:tcPr>
            <w:tcW w:w="5245" w:type="dxa"/>
            <w:vAlign w:val="center"/>
          </w:tcPr>
          <w:p>
            <w:pPr>
              <w:rPr>
                <w:rFonts w:ascii="宋体" w:hAnsi="宋体"/>
                <w:color w:val="auto"/>
                <w:highlight w:val="none"/>
              </w:rPr>
            </w:pPr>
            <w:r>
              <w:rPr>
                <w:rFonts w:hint="eastAsia" w:ascii="宋体" w:hAnsi="宋体"/>
                <w:color w:val="auto"/>
                <w:highlight w:val="none"/>
              </w:rPr>
              <w:t>中国南方电网有限责任公司电网建设施工作业指导书 第6部分：变电站自动化 DLZDH-ZW-03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Cfg03</w:t>
            </w:r>
          </w:p>
        </w:tc>
        <w:tc>
          <w:tcPr>
            <w:tcW w:w="2410" w:type="dxa"/>
            <w:vAlign w:val="center"/>
          </w:tcPr>
          <w:p>
            <w:pPr>
              <w:rPr>
                <w:rFonts w:ascii="宋体" w:hAnsi="宋体"/>
                <w:color w:val="auto"/>
                <w:highlight w:val="none"/>
              </w:rPr>
            </w:pPr>
            <w:r>
              <w:rPr>
                <w:rFonts w:hint="eastAsia" w:ascii="宋体" w:hAnsi="宋体"/>
                <w:color w:val="auto"/>
                <w:highlight w:val="none"/>
              </w:rPr>
              <w:t>模型文件检查</w:t>
            </w:r>
          </w:p>
        </w:tc>
        <w:tc>
          <w:tcPr>
            <w:tcW w:w="5245" w:type="dxa"/>
            <w:vAlign w:val="center"/>
          </w:tcPr>
          <w:p>
            <w:pPr>
              <w:rPr>
                <w:rFonts w:ascii="宋体" w:hAnsi="宋体"/>
                <w:color w:val="auto"/>
                <w:highlight w:val="none"/>
              </w:rPr>
            </w:pPr>
            <w:r>
              <w:rPr>
                <w:rFonts w:hint="eastAsia" w:ascii="宋体" w:hAnsi="宋体"/>
                <w:color w:val="auto"/>
                <w:highlight w:val="none"/>
              </w:rPr>
              <w:t>DL/T 860 变电站内通信网络和系统</w:t>
            </w:r>
          </w:p>
        </w:tc>
      </w:tr>
    </w:tbl>
    <w:p>
      <w:pPr>
        <w:rPr>
          <w:color w:val="auto"/>
          <w:highlight w:val="none"/>
        </w:rPr>
      </w:pPr>
    </w:p>
    <w:p>
      <w:pPr>
        <w:pStyle w:val="3"/>
        <w:rPr>
          <w:color w:val="auto"/>
          <w:sz w:val="24"/>
          <w:szCs w:val="24"/>
          <w:highlight w:val="none"/>
        </w:rPr>
      </w:pPr>
      <w:bookmarkStart w:id="31" w:name="_Toc49258140"/>
      <w:r>
        <w:rPr>
          <w:rFonts w:hint="eastAsia" w:ascii="宋体" w:hAnsi="宋体"/>
          <w:color w:val="auto"/>
          <w:sz w:val="24"/>
          <w:szCs w:val="21"/>
          <w:highlight w:val="none"/>
        </w:rPr>
        <w:t>设备信息检验</w:t>
      </w:r>
      <w:r>
        <w:rPr>
          <w:rFonts w:hint="eastAsia"/>
          <w:color w:val="auto"/>
          <w:sz w:val="24"/>
          <w:szCs w:val="24"/>
          <w:highlight w:val="none"/>
        </w:rPr>
        <w:t>（考察项）</w:t>
      </w:r>
      <w:bookmarkEnd w:id="31"/>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Mi</w:t>
            </w:r>
            <w:r>
              <w:rPr>
                <w:rFonts w:ascii="宋体" w:hAnsi="宋体"/>
                <w:color w:val="auto"/>
                <w:sz w:val="22"/>
                <w:szCs w:val="22"/>
                <w:highlight w:val="none"/>
              </w:rPr>
              <w:t>c</w:t>
            </w:r>
            <w:r>
              <w:rPr>
                <w:rFonts w:hint="eastAsia" w:ascii="宋体" w:hAnsi="宋体"/>
                <w:color w:val="auto"/>
                <w:sz w:val="22"/>
                <w:szCs w:val="22"/>
                <w:highlight w:val="none"/>
              </w:rPr>
              <w:t>01</w:t>
            </w:r>
          </w:p>
        </w:tc>
        <w:tc>
          <w:tcPr>
            <w:tcW w:w="2410" w:type="dxa"/>
            <w:vAlign w:val="center"/>
          </w:tcPr>
          <w:p>
            <w:pPr>
              <w:rPr>
                <w:rFonts w:ascii="宋体" w:hAnsi="宋体"/>
                <w:color w:val="auto"/>
                <w:highlight w:val="none"/>
              </w:rPr>
            </w:pPr>
            <w:r>
              <w:rPr>
                <w:rFonts w:hint="eastAsia" w:ascii="宋体" w:hAnsi="宋体"/>
                <w:color w:val="auto"/>
                <w:highlight w:val="none"/>
              </w:rPr>
              <w:t>主机硬件检验</w:t>
            </w:r>
          </w:p>
        </w:tc>
        <w:tc>
          <w:tcPr>
            <w:tcW w:w="5245" w:type="dxa"/>
            <w:vAlign w:val="center"/>
          </w:tcPr>
          <w:p>
            <w:pPr>
              <w:rPr>
                <w:rFonts w:ascii="宋体" w:hAnsi="宋体"/>
                <w:color w:val="auto"/>
                <w:highlight w:val="none"/>
              </w:rPr>
            </w:pPr>
            <w:r>
              <w:rPr>
                <w:rFonts w:hint="eastAsia" w:ascii="宋体" w:hAnsi="宋体"/>
                <w:color w:val="auto"/>
                <w:highlight w:val="none"/>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ascii="宋体" w:hAnsi="宋体"/>
                <w:color w:val="auto"/>
                <w:sz w:val="22"/>
                <w:szCs w:val="22"/>
                <w:highlight w:val="none"/>
              </w:rPr>
              <w:t>Mic</w:t>
            </w:r>
            <w:r>
              <w:rPr>
                <w:rFonts w:hint="eastAsia" w:ascii="宋体" w:hAnsi="宋体"/>
                <w:color w:val="auto"/>
                <w:sz w:val="22"/>
                <w:szCs w:val="22"/>
                <w:highlight w:val="none"/>
              </w:rPr>
              <w:t>02</w:t>
            </w:r>
          </w:p>
        </w:tc>
        <w:tc>
          <w:tcPr>
            <w:tcW w:w="2410" w:type="dxa"/>
            <w:vAlign w:val="center"/>
          </w:tcPr>
          <w:p>
            <w:pPr>
              <w:rPr>
                <w:rFonts w:ascii="宋体" w:hAnsi="宋体"/>
                <w:color w:val="auto"/>
                <w:highlight w:val="none"/>
              </w:rPr>
            </w:pPr>
            <w:r>
              <w:rPr>
                <w:rFonts w:hint="eastAsia" w:ascii="宋体" w:hAnsi="宋体"/>
                <w:color w:val="auto"/>
                <w:highlight w:val="none"/>
              </w:rPr>
              <w:t>外设检验</w:t>
            </w:r>
          </w:p>
        </w:tc>
        <w:tc>
          <w:tcPr>
            <w:tcW w:w="5245" w:type="dxa"/>
            <w:vAlign w:val="center"/>
          </w:tcPr>
          <w:p>
            <w:pPr>
              <w:rPr>
                <w:rFonts w:ascii="宋体" w:hAnsi="宋体"/>
                <w:color w:val="auto"/>
                <w:highlight w:val="none"/>
              </w:rPr>
            </w:pPr>
            <w:r>
              <w:rPr>
                <w:rFonts w:hint="eastAsia" w:ascii="宋体" w:hAnsi="宋体"/>
                <w:color w:val="auto"/>
                <w:highlight w:val="none"/>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ascii="宋体" w:hAnsi="宋体"/>
                <w:color w:val="auto"/>
                <w:sz w:val="22"/>
                <w:szCs w:val="22"/>
                <w:highlight w:val="none"/>
              </w:rPr>
              <w:t>Mic</w:t>
            </w:r>
            <w:r>
              <w:rPr>
                <w:rFonts w:hint="eastAsia" w:ascii="宋体" w:hAnsi="宋体"/>
                <w:color w:val="auto"/>
                <w:sz w:val="22"/>
                <w:szCs w:val="22"/>
                <w:highlight w:val="none"/>
              </w:rPr>
              <w:t>03</w:t>
            </w:r>
          </w:p>
        </w:tc>
        <w:tc>
          <w:tcPr>
            <w:tcW w:w="2410" w:type="dxa"/>
            <w:vAlign w:val="center"/>
          </w:tcPr>
          <w:p>
            <w:pPr>
              <w:rPr>
                <w:rFonts w:ascii="宋体" w:hAnsi="宋体"/>
                <w:color w:val="auto"/>
                <w:highlight w:val="none"/>
              </w:rPr>
            </w:pPr>
            <w:r>
              <w:rPr>
                <w:rFonts w:hint="eastAsia" w:ascii="宋体" w:hAnsi="宋体"/>
                <w:color w:val="auto"/>
                <w:highlight w:val="none"/>
              </w:rPr>
              <w:t>操作系统检验</w:t>
            </w:r>
          </w:p>
        </w:tc>
        <w:tc>
          <w:tcPr>
            <w:tcW w:w="5245" w:type="dxa"/>
            <w:vAlign w:val="center"/>
          </w:tcPr>
          <w:p>
            <w:pPr>
              <w:rPr>
                <w:rFonts w:ascii="宋体" w:hAnsi="宋体"/>
                <w:color w:val="auto"/>
                <w:highlight w:val="none"/>
              </w:rPr>
            </w:pPr>
            <w:r>
              <w:rPr>
                <w:rFonts w:hint="eastAsia" w:ascii="宋体" w:hAnsi="宋体"/>
                <w:color w:val="auto"/>
                <w:highlight w:val="none"/>
              </w:rPr>
              <w:t>GB</w:t>
            </w:r>
            <w:r>
              <w:rPr>
                <w:rFonts w:ascii="宋体" w:hAnsi="宋体"/>
                <w:color w:val="auto"/>
                <w:highlight w:val="none"/>
              </w:rPr>
              <w:t>/</w:t>
            </w:r>
            <w:r>
              <w:rPr>
                <w:rFonts w:hint="eastAsia" w:ascii="宋体" w:hAnsi="宋体"/>
                <w:color w:val="auto"/>
                <w:highlight w:val="none"/>
              </w:rPr>
              <w:t>T 25645-2010 信息技术 中文Linux服务器操作系统技术要求</w:t>
            </w:r>
          </w:p>
          <w:p>
            <w:pPr>
              <w:rPr>
                <w:rFonts w:ascii="宋体" w:hAnsi="宋体"/>
                <w:color w:val="auto"/>
                <w:highlight w:val="none"/>
              </w:rPr>
            </w:pPr>
            <w:r>
              <w:rPr>
                <w:rFonts w:hint="eastAsia" w:ascii="宋体" w:hAnsi="宋体"/>
                <w:color w:val="auto"/>
                <w:highlight w:val="none"/>
              </w:rPr>
              <w:t>GB</w:t>
            </w:r>
            <w:r>
              <w:rPr>
                <w:rFonts w:ascii="宋体" w:hAnsi="宋体"/>
                <w:color w:val="auto"/>
                <w:highlight w:val="none"/>
              </w:rPr>
              <w:t>/</w:t>
            </w:r>
            <w:r>
              <w:rPr>
                <w:rFonts w:hint="eastAsia" w:ascii="宋体" w:hAnsi="宋体"/>
                <w:color w:val="auto"/>
                <w:highlight w:val="none"/>
              </w:rPr>
              <w:t>T 25655-2010 信息技术 中文Linux桌面操作系统技术要求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ascii="宋体" w:hAnsi="宋体"/>
                <w:color w:val="auto"/>
                <w:sz w:val="22"/>
                <w:szCs w:val="22"/>
                <w:highlight w:val="none"/>
              </w:rPr>
              <w:t>Mic04</w:t>
            </w:r>
          </w:p>
        </w:tc>
        <w:tc>
          <w:tcPr>
            <w:tcW w:w="2410" w:type="dxa"/>
            <w:vAlign w:val="center"/>
          </w:tcPr>
          <w:p>
            <w:pPr>
              <w:rPr>
                <w:rFonts w:ascii="宋体" w:hAnsi="宋体"/>
                <w:color w:val="auto"/>
                <w:highlight w:val="none"/>
              </w:rPr>
            </w:pPr>
            <w:r>
              <w:rPr>
                <w:rFonts w:hint="eastAsia" w:ascii="宋体" w:hAnsi="宋体"/>
                <w:color w:val="auto"/>
                <w:highlight w:val="none"/>
              </w:rPr>
              <w:t>智能远动机应用软件检验</w:t>
            </w:r>
          </w:p>
        </w:tc>
        <w:tc>
          <w:tcPr>
            <w:tcW w:w="5245" w:type="dxa"/>
            <w:vAlign w:val="center"/>
          </w:tcPr>
          <w:p>
            <w:pPr>
              <w:rPr>
                <w:rFonts w:ascii="宋体" w:hAnsi="宋体"/>
                <w:color w:val="auto"/>
                <w:highlight w:val="none"/>
              </w:rPr>
            </w:pPr>
            <w:r>
              <w:rPr>
                <w:rFonts w:hint="eastAsia" w:ascii="宋体" w:hAnsi="宋体"/>
                <w:color w:val="auto"/>
                <w:highlight w:val="none"/>
              </w:rPr>
              <w:t>/</w:t>
            </w:r>
          </w:p>
        </w:tc>
      </w:tr>
    </w:tbl>
    <w:p>
      <w:pPr>
        <w:rPr>
          <w:color w:val="auto"/>
          <w:highlight w:val="none"/>
        </w:rPr>
      </w:pPr>
    </w:p>
    <w:p>
      <w:pPr>
        <w:pStyle w:val="3"/>
        <w:rPr>
          <w:color w:val="auto"/>
          <w:sz w:val="24"/>
          <w:szCs w:val="24"/>
          <w:highlight w:val="none"/>
        </w:rPr>
      </w:pPr>
      <w:bookmarkStart w:id="32" w:name="_Toc528273501"/>
      <w:bookmarkStart w:id="33" w:name="_Toc49258141"/>
      <w:r>
        <w:rPr>
          <w:rFonts w:hint="eastAsia"/>
          <w:color w:val="auto"/>
          <w:sz w:val="24"/>
          <w:szCs w:val="24"/>
          <w:highlight w:val="none"/>
        </w:rPr>
        <w:t>计量功能检验</w:t>
      </w:r>
      <w:bookmarkEnd w:id="32"/>
      <w:bookmarkEnd w:id="33"/>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E</w:t>
            </w:r>
            <w:r>
              <w:rPr>
                <w:rFonts w:ascii="宋体" w:hAnsi="宋体"/>
                <w:color w:val="auto"/>
                <w:sz w:val="22"/>
                <w:szCs w:val="22"/>
                <w:highlight w:val="none"/>
              </w:rPr>
              <w:t>mm</w:t>
            </w:r>
            <w:r>
              <w:rPr>
                <w:rFonts w:hint="eastAsia" w:ascii="宋体" w:hAnsi="宋体"/>
                <w:color w:val="auto"/>
                <w:sz w:val="22"/>
                <w:szCs w:val="22"/>
                <w:highlight w:val="none"/>
              </w:rPr>
              <w:t>01</w:t>
            </w:r>
          </w:p>
        </w:tc>
        <w:tc>
          <w:tcPr>
            <w:tcW w:w="2410" w:type="dxa"/>
            <w:vAlign w:val="center"/>
          </w:tcPr>
          <w:p>
            <w:pPr>
              <w:rPr>
                <w:rFonts w:ascii="宋体" w:hAnsi="宋体"/>
                <w:color w:val="auto"/>
                <w:highlight w:val="none"/>
              </w:rPr>
            </w:pPr>
            <w:r>
              <w:rPr>
                <w:rFonts w:hint="eastAsia" w:ascii="宋体" w:hAnsi="宋体"/>
                <w:color w:val="auto"/>
                <w:highlight w:val="none"/>
              </w:rPr>
              <w:t>通信接口检验</w:t>
            </w:r>
          </w:p>
        </w:tc>
        <w:tc>
          <w:tcPr>
            <w:tcW w:w="5245" w:type="dxa"/>
            <w:vAlign w:val="center"/>
          </w:tcPr>
          <w:p>
            <w:pPr>
              <w:rPr>
                <w:rFonts w:ascii="宋体" w:hAnsi="宋体"/>
                <w:color w:val="auto"/>
                <w:highlight w:val="none"/>
              </w:rPr>
            </w:pPr>
            <w:r>
              <w:rPr>
                <w:rFonts w:hint="eastAsia" w:ascii="宋体" w:hAnsi="宋体"/>
                <w:color w:val="auto"/>
                <w:highlight w:val="none"/>
              </w:rPr>
              <w:t>Q/CSG 11109001-2013 厂站电能量采集终端技术规范4.8.8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Em</w:t>
            </w:r>
            <w:r>
              <w:rPr>
                <w:rFonts w:ascii="宋体" w:hAnsi="宋体"/>
                <w:color w:val="auto"/>
                <w:sz w:val="22"/>
                <w:szCs w:val="22"/>
                <w:highlight w:val="none"/>
              </w:rPr>
              <w:t>m</w:t>
            </w:r>
            <w:r>
              <w:rPr>
                <w:rFonts w:hint="eastAsia" w:ascii="宋体" w:hAnsi="宋体"/>
                <w:color w:val="auto"/>
                <w:sz w:val="22"/>
                <w:szCs w:val="22"/>
                <w:highlight w:val="none"/>
              </w:rPr>
              <w:t>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*数据采集功能检验</w:t>
            </w:r>
          </w:p>
        </w:tc>
        <w:tc>
          <w:tcPr>
            <w:tcW w:w="5245" w:type="dxa"/>
            <w:vAlign w:val="center"/>
          </w:tcPr>
          <w:p>
            <w:pPr>
              <w:rPr>
                <w:rFonts w:ascii="宋体" w:hAnsi="宋体"/>
                <w:color w:val="auto"/>
                <w:highlight w:val="none"/>
              </w:rPr>
            </w:pPr>
            <w:r>
              <w:rPr>
                <w:rFonts w:hint="eastAsia" w:ascii="宋体" w:hAnsi="宋体"/>
                <w:color w:val="auto"/>
                <w:highlight w:val="none"/>
              </w:rPr>
              <w:t>Q/CSG 11109001-2013 厂站电能量采集终端技术规范4.8.2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Emm03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数据处理和存储功能检验</w:t>
            </w:r>
          </w:p>
        </w:tc>
        <w:tc>
          <w:tcPr>
            <w:tcW w:w="5245" w:type="dxa"/>
            <w:vAlign w:val="center"/>
          </w:tcPr>
          <w:p>
            <w:pPr>
              <w:rPr>
                <w:rFonts w:ascii="宋体" w:hAnsi="宋体"/>
                <w:color w:val="auto"/>
                <w:highlight w:val="none"/>
              </w:rPr>
            </w:pPr>
            <w:r>
              <w:rPr>
                <w:rFonts w:hint="eastAsia" w:ascii="宋体" w:hAnsi="宋体"/>
                <w:color w:val="auto"/>
                <w:highlight w:val="none"/>
              </w:rPr>
              <w:t>Q/CSG 11109001-2013 厂站电能量采集终端技术规范4.8.5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Emm04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参数设置和查询功能检验</w:t>
            </w:r>
          </w:p>
        </w:tc>
        <w:tc>
          <w:tcPr>
            <w:tcW w:w="5245" w:type="dxa"/>
            <w:vAlign w:val="center"/>
          </w:tcPr>
          <w:p>
            <w:pPr>
              <w:rPr>
                <w:rFonts w:ascii="宋体" w:hAnsi="宋体"/>
                <w:color w:val="auto"/>
                <w:highlight w:val="none"/>
              </w:rPr>
            </w:pPr>
            <w:r>
              <w:rPr>
                <w:rFonts w:hint="eastAsia" w:ascii="宋体" w:hAnsi="宋体"/>
                <w:color w:val="auto"/>
                <w:highlight w:val="none"/>
              </w:rPr>
              <w:t>Q/CSG 11109001-2013 厂站电能量采集终端技术规范4.8.6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Emm05</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*通信传输功能检验</w:t>
            </w:r>
          </w:p>
        </w:tc>
        <w:tc>
          <w:tcPr>
            <w:tcW w:w="5245" w:type="dxa"/>
            <w:vAlign w:val="center"/>
          </w:tcPr>
          <w:p>
            <w:pPr>
              <w:rPr>
                <w:rFonts w:ascii="宋体" w:hAnsi="宋体"/>
                <w:color w:val="auto"/>
                <w:highlight w:val="none"/>
              </w:rPr>
            </w:pPr>
            <w:r>
              <w:rPr>
                <w:rFonts w:hint="eastAsia" w:ascii="宋体" w:hAnsi="宋体"/>
                <w:color w:val="auto"/>
                <w:highlight w:val="none"/>
              </w:rPr>
              <w:t>Q/CSG 11109001-2013 厂站电能量采集终端技术规范4.8.8</w:t>
            </w:r>
          </w:p>
        </w:tc>
      </w:tr>
    </w:tbl>
    <w:p>
      <w:pPr>
        <w:rPr>
          <w:color w:val="auto"/>
          <w:highlight w:val="none"/>
        </w:rPr>
      </w:pPr>
    </w:p>
    <w:p>
      <w:pPr>
        <w:pStyle w:val="3"/>
        <w:rPr>
          <w:color w:val="auto"/>
          <w:sz w:val="24"/>
          <w:szCs w:val="24"/>
          <w:highlight w:val="none"/>
        </w:rPr>
      </w:pPr>
      <w:bookmarkStart w:id="34" w:name="_Toc528273502"/>
      <w:bookmarkStart w:id="35" w:name="_Toc49258142"/>
      <w:r>
        <w:rPr>
          <w:color w:val="auto"/>
          <w:sz w:val="24"/>
          <w:szCs w:val="24"/>
          <w:highlight w:val="none"/>
        </w:rPr>
        <w:t>相量数据集中器</w:t>
      </w:r>
      <w:r>
        <w:rPr>
          <w:rFonts w:hint="eastAsia"/>
          <w:color w:val="auto"/>
          <w:sz w:val="24"/>
          <w:szCs w:val="24"/>
          <w:highlight w:val="none"/>
        </w:rPr>
        <w:t>功能检验</w:t>
      </w:r>
      <w:bookmarkEnd w:id="34"/>
      <w:bookmarkEnd w:id="35"/>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Pmu01</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数据</w:t>
            </w:r>
            <w:r>
              <w:rPr>
                <w:rFonts w:ascii="宋体" w:hAnsi="宋体"/>
                <w:color w:val="auto"/>
                <w:highlight w:val="none"/>
              </w:rPr>
              <w:t>汇</w:t>
            </w:r>
            <w:r>
              <w:rPr>
                <w:rFonts w:hint="eastAsia" w:ascii="宋体" w:hAnsi="宋体"/>
                <w:color w:val="auto"/>
                <w:highlight w:val="none"/>
              </w:rPr>
              <w:t>集功能检验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 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Pmu02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*实时通信功能检验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Pmu03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*动态数据记录功能检验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5.4.5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Pmu0</w:t>
            </w:r>
            <w:r>
              <w:rPr>
                <w:rFonts w:ascii="宋体" w:hAnsi="宋体"/>
                <w:color w:val="auto"/>
                <w:sz w:val="22"/>
                <w:szCs w:val="22"/>
                <w:highlight w:val="none"/>
              </w:rPr>
              <w:t>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离线数据召唤功能检验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5.6</w:t>
            </w:r>
          </w:p>
        </w:tc>
      </w:tr>
    </w:tbl>
    <w:p>
      <w:pPr>
        <w:rPr>
          <w:color w:val="auto"/>
          <w:highlight w:val="none"/>
        </w:rPr>
      </w:pPr>
    </w:p>
    <w:p>
      <w:pPr>
        <w:pStyle w:val="3"/>
        <w:rPr>
          <w:color w:val="auto"/>
          <w:sz w:val="24"/>
          <w:szCs w:val="24"/>
          <w:highlight w:val="none"/>
        </w:rPr>
      </w:pPr>
      <w:bookmarkStart w:id="36" w:name="_Toc49258143"/>
      <w:r>
        <w:rPr>
          <w:color w:val="auto"/>
          <w:sz w:val="24"/>
          <w:szCs w:val="24"/>
          <w:highlight w:val="none"/>
        </w:rPr>
        <w:t>告警直传</w:t>
      </w:r>
      <w:r>
        <w:rPr>
          <w:rFonts w:hint="eastAsia"/>
          <w:color w:val="auto"/>
          <w:sz w:val="24"/>
          <w:szCs w:val="24"/>
          <w:highlight w:val="none"/>
        </w:rPr>
        <w:t>功能检验</w:t>
      </w:r>
      <w:bookmarkEnd w:id="36"/>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Alm</w:t>
            </w:r>
            <w:r>
              <w:rPr>
                <w:rFonts w:hint="eastAsia" w:ascii="宋体" w:hAnsi="宋体"/>
                <w:color w:val="auto"/>
                <w:sz w:val="22"/>
                <w:szCs w:val="22"/>
                <w:highlight w:val="none"/>
              </w:rPr>
              <w:t>01</w:t>
            </w:r>
          </w:p>
        </w:tc>
        <w:tc>
          <w:tcPr>
            <w:tcW w:w="2410" w:type="dxa"/>
            <w:vAlign w:val="center"/>
          </w:tcPr>
          <w:p>
            <w:pPr>
              <w:rPr>
                <w:rFonts w:ascii="宋体" w:hAnsi="宋体"/>
                <w:color w:val="auto"/>
                <w:highlight w:val="none"/>
              </w:rPr>
            </w:pPr>
            <w:r>
              <w:rPr>
                <w:rFonts w:hint="eastAsia" w:ascii="宋体" w:hAnsi="宋体"/>
                <w:color w:val="auto"/>
                <w:highlight w:val="none"/>
              </w:rPr>
              <w:t>告警直传检验（考察项）</w:t>
            </w:r>
          </w:p>
        </w:tc>
        <w:tc>
          <w:tcPr>
            <w:tcW w:w="5245" w:type="dxa"/>
            <w:vAlign w:val="center"/>
          </w:tcPr>
          <w:p>
            <w:pPr>
              <w:rPr>
                <w:rFonts w:ascii="宋体" w:hAnsi="宋体"/>
                <w:color w:val="auto"/>
                <w:highlight w:val="none"/>
              </w:rPr>
            </w:pPr>
            <w:r>
              <w:rPr>
                <w:rFonts w:hint="eastAsia" w:ascii="宋体" w:hAnsi="宋体"/>
                <w:color w:val="auto"/>
                <w:highlight w:val="none"/>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ascii="宋体" w:hAnsi="宋体"/>
                <w:color w:val="auto"/>
                <w:sz w:val="22"/>
                <w:szCs w:val="22"/>
                <w:highlight w:val="none"/>
              </w:rPr>
              <w:t>Alm</w:t>
            </w:r>
            <w:r>
              <w:rPr>
                <w:rFonts w:hint="eastAsia" w:ascii="宋体" w:hAnsi="宋体"/>
                <w:color w:val="auto"/>
                <w:sz w:val="22"/>
                <w:szCs w:val="22"/>
                <w:highlight w:val="none"/>
              </w:rPr>
              <w:t>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告警传输时间检验</w:t>
            </w:r>
            <w:r>
              <w:rPr>
                <w:rFonts w:hint="eastAsia" w:ascii="宋体" w:hAnsi="宋体"/>
                <w:color w:val="auto"/>
                <w:highlight w:val="none"/>
              </w:rPr>
              <w:t>（考察项）</w:t>
            </w:r>
          </w:p>
        </w:tc>
        <w:tc>
          <w:tcPr>
            <w:tcW w:w="5245" w:type="dxa"/>
            <w:vAlign w:val="center"/>
          </w:tcPr>
          <w:p>
            <w:pPr>
              <w:rPr>
                <w:rFonts w:ascii="宋体" w:hAnsi="宋体"/>
                <w:color w:val="auto"/>
                <w:highlight w:val="none"/>
              </w:rPr>
            </w:pPr>
            <w:r>
              <w:rPr>
                <w:rFonts w:ascii="宋体" w:hAnsi="宋体"/>
                <w:color w:val="auto"/>
                <w:highlight w:val="none"/>
              </w:rPr>
              <w:t>/</w:t>
            </w:r>
          </w:p>
        </w:tc>
      </w:tr>
    </w:tbl>
    <w:p>
      <w:pPr>
        <w:rPr>
          <w:color w:val="auto"/>
          <w:highlight w:val="none"/>
        </w:rPr>
      </w:pPr>
    </w:p>
    <w:p>
      <w:pPr>
        <w:pStyle w:val="3"/>
        <w:rPr>
          <w:color w:val="auto"/>
          <w:sz w:val="24"/>
          <w:szCs w:val="24"/>
          <w:highlight w:val="none"/>
        </w:rPr>
      </w:pPr>
      <w:bookmarkStart w:id="37" w:name="_Toc49258144"/>
      <w:bookmarkStart w:id="38" w:name="_Toc528273503"/>
      <w:r>
        <w:rPr>
          <w:rFonts w:hint="eastAsia"/>
          <w:color w:val="auto"/>
          <w:sz w:val="24"/>
          <w:szCs w:val="24"/>
          <w:highlight w:val="none"/>
        </w:rPr>
        <w:t>在线监测功能检验</w:t>
      </w:r>
      <w:bookmarkEnd w:id="37"/>
      <w:bookmarkEnd w:id="38"/>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M</w:t>
            </w:r>
            <w:r>
              <w:rPr>
                <w:rFonts w:ascii="宋体" w:hAnsi="宋体"/>
                <w:color w:val="auto"/>
                <w:sz w:val="22"/>
                <w:szCs w:val="22"/>
                <w:highlight w:val="none"/>
              </w:rPr>
              <w:t>on</w:t>
            </w:r>
            <w:r>
              <w:rPr>
                <w:rFonts w:hint="eastAsia" w:ascii="宋体" w:hAnsi="宋体"/>
                <w:color w:val="auto"/>
                <w:sz w:val="22"/>
                <w:szCs w:val="22"/>
                <w:highlight w:val="none"/>
              </w:rPr>
              <w:t>01</w:t>
            </w:r>
          </w:p>
        </w:tc>
        <w:tc>
          <w:tcPr>
            <w:tcW w:w="2410" w:type="dxa"/>
            <w:vAlign w:val="center"/>
          </w:tcPr>
          <w:p>
            <w:pPr>
              <w:rPr>
                <w:rFonts w:ascii="宋体" w:hAnsi="宋体"/>
                <w:color w:val="auto"/>
                <w:highlight w:val="none"/>
              </w:rPr>
            </w:pPr>
            <w:r>
              <w:rPr>
                <w:rFonts w:ascii="Arial" w:hAnsi="Arial" w:cs="Arial"/>
                <w:color w:val="auto"/>
                <w:szCs w:val="21"/>
                <w:highlight w:val="none"/>
              </w:rPr>
              <w:t>基本通信功能检验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智能远动网关技术规范7.1.4</w:t>
            </w:r>
          </w:p>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Mon02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*数据传输、处理及存储功能检验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智能远动网关技术规范7.1.4</w:t>
            </w:r>
          </w:p>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Mon03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*监测装置管理功能检验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智能远动网关技术规范7.1.4</w:t>
            </w:r>
          </w:p>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Mon0</w:t>
            </w:r>
            <w:r>
              <w:rPr>
                <w:rFonts w:ascii="宋体" w:hAnsi="宋体"/>
                <w:color w:val="auto"/>
                <w:sz w:val="22"/>
                <w:szCs w:val="22"/>
                <w:highlight w:val="none"/>
              </w:rPr>
              <w:t>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自检测与自恢复功能检验</w:t>
            </w:r>
          </w:p>
        </w:tc>
        <w:tc>
          <w:tcPr>
            <w:tcW w:w="5245" w:type="dxa"/>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Mon0</w:t>
            </w:r>
            <w:r>
              <w:rPr>
                <w:rFonts w:ascii="宋体" w:hAnsi="宋体"/>
                <w:color w:val="auto"/>
                <w:sz w:val="22"/>
                <w:szCs w:val="22"/>
                <w:highlight w:val="none"/>
              </w:rPr>
              <w:t>5</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系统配置和维护功能检验</w:t>
            </w:r>
          </w:p>
        </w:tc>
        <w:tc>
          <w:tcPr>
            <w:tcW w:w="5245" w:type="dxa"/>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Mon0</w:t>
            </w:r>
            <w:r>
              <w:rPr>
                <w:rFonts w:ascii="宋体" w:hAnsi="宋体"/>
                <w:color w:val="auto"/>
                <w:sz w:val="22"/>
                <w:szCs w:val="22"/>
                <w:highlight w:val="none"/>
              </w:rPr>
              <w:t>6</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人机交互功能检验</w:t>
            </w:r>
          </w:p>
        </w:tc>
        <w:tc>
          <w:tcPr>
            <w:tcW w:w="5245" w:type="dxa"/>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.7</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jc w:val="center"/>
              <w:rPr>
                <w:rFonts w:ascii="宋体" w:hAnsi="宋体"/>
                <w:color w:val="auto"/>
                <w:sz w:val="22"/>
                <w:szCs w:val="22"/>
                <w:highlight w:val="none"/>
              </w:rPr>
            </w:pPr>
            <w:r>
              <w:rPr>
                <w:rFonts w:hint="eastAsia" w:ascii="宋体" w:hAnsi="宋体"/>
                <w:color w:val="auto"/>
                <w:sz w:val="22"/>
                <w:szCs w:val="22"/>
                <w:highlight w:val="none"/>
              </w:rPr>
              <w:t>Mon0</w:t>
            </w:r>
            <w:r>
              <w:rPr>
                <w:rFonts w:ascii="宋体" w:hAnsi="宋体"/>
                <w:color w:val="auto"/>
                <w:sz w:val="22"/>
                <w:szCs w:val="22"/>
                <w:highlight w:val="none"/>
              </w:rPr>
              <w:t>7</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*性能检验</w:t>
            </w:r>
          </w:p>
        </w:tc>
        <w:tc>
          <w:tcPr>
            <w:tcW w:w="5245" w:type="dxa"/>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.9</w:t>
            </w:r>
          </w:p>
        </w:tc>
      </w:tr>
    </w:tbl>
    <w:p>
      <w:pPr>
        <w:rPr>
          <w:color w:val="auto"/>
          <w:highlight w:val="none"/>
        </w:rPr>
      </w:pPr>
      <w:r>
        <w:rPr>
          <w:color w:val="auto"/>
          <w:highlight w:val="none"/>
        </w:rPr>
        <w:t>备注：在线监测装置模型文件由检测机构提供。</w:t>
      </w:r>
    </w:p>
    <w:p>
      <w:pPr>
        <w:pStyle w:val="3"/>
        <w:rPr>
          <w:color w:val="auto"/>
          <w:sz w:val="24"/>
          <w:szCs w:val="24"/>
          <w:highlight w:val="none"/>
        </w:rPr>
      </w:pPr>
      <w:bookmarkStart w:id="39" w:name="_Toc49258145"/>
      <w:bookmarkStart w:id="40" w:name="_Toc528273504"/>
      <w:r>
        <w:rPr>
          <w:rFonts w:hint="eastAsia"/>
          <w:color w:val="auto"/>
          <w:sz w:val="24"/>
          <w:szCs w:val="24"/>
          <w:highlight w:val="none"/>
        </w:rPr>
        <w:t>远程浏览功能检验</w:t>
      </w:r>
      <w:bookmarkEnd w:id="39"/>
      <w:bookmarkEnd w:id="40"/>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Reb01</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画面调用规范检验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智能远动网关技术规范7.2</w:t>
            </w:r>
          </w:p>
          <w:p>
            <w:pPr>
              <w:rPr>
                <w:rFonts w:ascii="宋体" w:hAnsi="宋体"/>
                <w:color w:val="auto"/>
                <w:highlight w:val="none"/>
              </w:rPr>
            </w:pPr>
            <w:r>
              <w:rPr>
                <w:rFonts w:hint="eastAsia" w:ascii="宋体" w:hAnsi="宋体"/>
                <w:color w:val="auto"/>
                <w:highlight w:val="none"/>
              </w:rPr>
              <w:t>Q</w:t>
            </w:r>
            <w:r>
              <w:rPr>
                <w:rFonts w:ascii="宋体" w:hAnsi="宋体"/>
                <w:color w:val="auto"/>
                <w:highlight w:val="none"/>
              </w:rPr>
              <w:t>/</w:t>
            </w:r>
            <w:r>
              <w:rPr>
                <w:rFonts w:hint="eastAsia" w:ascii="宋体" w:hAnsi="宋体"/>
                <w:color w:val="auto"/>
                <w:highlight w:val="none"/>
              </w:rPr>
              <w:t>CSG 1204005.310-2014南方电网一体化电网运行智能系统技术规范 第3部分：数据 第10篇：通用画面调用技术规范 6</w:t>
            </w:r>
            <w:r>
              <w:rPr>
                <w:rFonts w:ascii="宋体" w:hAnsi="宋体"/>
                <w:color w:val="auto"/>
                <w:highlight w:val="none"/>
              </w:rPr>
              <w:t>.1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Reb02</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画面请求功能检验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智能远动网关技术规范7.2</w:t>
            </w:r>
          </w:p>
          <w:p>
            <w:pPr>
              <w:rPr>
                <w:rFonts w:ascii="宋体" w:hAnsi="宋体"/>
                <w:color w:val="auto"/>
                <w:highlight w:val="none"/>
              </w:rPr>
            </w:pPr>
            <w:r>
              <w:rPr>
                <w:rFonts w:hint="eastAsia" w:ascii="宋体" w:hAnsi="宋体"/>
                <w:color w:val="auto"/>
                <w:highlight w:val="none"/>
              </w:rPr>
              <w:t>Q</w:t>
            </w:r>
            <w:r>
              <w:rPr>
                <w:rFonts w:ascii="宋体" w:hAnsi="宋体"/>
                <w:color w:val="auto"/>
                <w:highlight w:val="none"/>
              </w:rPr>
              <w:t>/</w:t>
            </w:r>
            <w:r>
              <w:rPr>
                <w:rFonts w:hint="eastAsia" w:ascii="宋体" w:hAnsi="宋体"/>
                <w:color w:val="auto"/>
                <w:highlight w:val="none"/>
              </w:rPr>
              <w:t>CSG 1204005.310-2014南方电网一体化电网运行智能系统技术规范 第3部分：数据 第10篇：通用画面调用技术规范 6.3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Reb03</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画面数据刷新功能检验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智能远动网关技术规范7.2</w:t>
            </w:r>
          </w:p>
          <w:p>
            <w:pPr>
              <w:rPr>
                <w:rFonts w:ascii="宋体" w:hAnsi="宋体"/>
                <w:color w:val="auto"/>
                <w:highlight w:val="none"/>
              </w:rPr>
            </w:pPr>
            <w:r>
              <w:rPr>
                <w:rFonts w:hint="eastAsia" w:ascii="宋体" w:hAnsi="宋体"/>
                <w:color w:val="auto"/>
                <w:highlight w:val="none"/>
              </w:rPr>
              <w:t>Q</w:t>
            </w:r>
            <w:r>
              <w:rPr>
                <w:rFonts w:ascii="宋体" w:hAnsi="宋体"/>
                <w:color w:val="auto"/>
                <w:highlight w:val="none"/>
              </w:rPr>
              <w:t>/</w:t>
            </w:r>
            <w:r>
              <w:rPr>
                <w:rFonts w:hint="eastAsia" w:ascii="宋体" w:hAnsi="宋体"/>
                <w:color w:val="auto"/>
                <w:highlight w:val="none"/>
              </w:rPr>
              <w:t>CSG 1204005.310-2014南方电网一体化电网运行智能系统技术规范 第3部分：数据 第10篇：通用画面调用技术规范 6.3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Reb04</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图形文件版本管理功能检验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智能远动网关技术规范7.2</w:t>
            </w:r>
          </w:p>
        </w:tc>
      </w:tr>
    </w:tbl>
    <w:p>
      <w:pPr>
        <w:rPr>
          <w:color w:val="auto"/>
          <w:highlight w:val="none"/>
        </w:rPr>
      </w:pPr>
    </w:p>
    <w:p>
      <w:pPr>
        <w:pStyle w:val="3"/>
        <w:rPr>
          <w:color w:val="auto"/>
          <w:sz w:val="24"/>
          <w:szCs w:val="24"/>
          <w:highlight w:val="none"/>
        </w:rPr>
      </w:pPr>
      <w:bookmarkStart w:id="41" w:name="_Toc528273505"/>
      <w:bookmarkStart w:id="42" w:name="_Toc49258146"/>
      <w:r>
        <w:rPr>
          <w:rFonts w:hint="eastAsia"/>
          <w:color w:val="auto"/>
          <w:sz w:val="24"/>
          <w:szCs w:val="24"/>
          <w:highlight w:val="none"/>
        </w:rPr>
        <w:t>源端维护功能检验</w:t>
      </w:r>
      <w:bookmarkEnd w:id="41"/>
      <w:bookmarkEnd w:id="42"/>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Src01</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模型文件校验功能检验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智能远动网关技术规范7.3</w:t>
            </w:r>
          </w:p>
          <w:p>
            <w:pPr>
              <w:rPr>
                <w:rFonts w:ascii="宋体" w:hAnsi="宋体"/>
                <w:color w:val="auto"/>
                <w:highlight w:val="none"/>
              </w:rPr>
            </w:pPr>
            <w:r>
              <w:rPr>
                <w:rFonts w:ascii="宋体" w:hAnsi="宋体"/>
                <w:color w:val="auto"/>
                <w:highlight w:val="none"/>
              </w:rPr>
              <w:t>Q/CSG XXX-XXXX</w:t>
            </w:r>
            <w:r>
              <w:rPr>
                <w:rFonts w:hint="eastAsia" w:ascii="宋体" w:hAnsi="宋体"/>
                <w:color w:val="auto"/>
                <w:highlight w:val="none"/>
              </w:rPr>
              <w:t>南方电网智能远动机源端维护与订阅发布技术规范6.</w:t>
            </w:r>
            <w:r>
              <w:rPr>
                <w:rFonts w:ascii="宋体" w:hAnsi="宋体"/>
                <w:color w:val="auto"/>
                <w:highlight w:val="none"/>
              </w:rPr>
              <w:t>7.1</w:t>
            </w:r>
          </w:p>
          <w:p>
            <w:pPr>
              <w:rPr>
                <w:rFonts w:ascii="宋体" w:hAnsi="宋体"/>
                <w:color w:val="auto"/>
                <w:highlight w:val="none"/>
              </w:rPr>
            </w:pPr>
            <w:r>
              <w:rPr>
                <w:rFonts w:hint="eastAsia" w:ascii="宋体" w:hAnsi="宋体"/>
                <w:color w:val="auto"/>
                <w:highlight w:val="none"/>
              </w:rPr>
              <w:t>Q/CSG XXX-XXXX 南方电网变电站CIM模型文件生成技术规范</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Src02</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源端维护发布流程检验</w:t>
            </w:r>
          </w:p>
        </w:tc>
        <w:tc>
          <w:tcPr>
            <w:tcW w:w="5245" w:type="dxa"/>
          </w:tcPr>
          <w:p>
            <w:pPr>
              <w:rPr>
                <w:rFonts w:ascii="宋体" w:hAnsi="宋体"/>
                <w:color w:val="auto"/>
                <w:highlight w:val="none"/>
              </w:rPr>
            </w:pPr>
            <w:r>
              <w:rPr>
                <w:rFonts w:hint="eastAsia" w:ascii="宋体" w:hAnsi="宋体"/>
                <w:color w:val="auto"/>
                <w:highlight w:val="none"/>
              </w:rPr>
              <w:t>GB/T 31994-2015 智能远动网关技术规范7.3</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第6篇：智能远动机功能规范4.6.2</w:t>
            </w:r>
          </w:p>
          <w:p>
            <w:pPr>
              <w:rPr>
                <w:rFonts w:ascii="宋体" w:hAnsi="宋体"/>
                <w:color w:val="auto"/>
                <w:highlight w:val="none"/>
              </w:rPr>
            </w:pPr>
            <w:r>
              <w:rPr>
                <w:rFonts w:ascii="宋体" w:hAnsi="宋体"/>
                <w:color w:val="auto"/>
                <w:highlight w:val="none"/>
              </w:rPr>
              <w:t>Q/CSG XXX-XXXX</w:t>
            </w:r>
            <w:r>
              <w:rPr>
                <w:rFonts w:hint="eastAsia" w:ascii="宋体" w:hAnsi="宋体"/>
                <w:color w:val="auto"/>
                <w:highlight w:val="none"/>
              </w:rPr>
              <w:t>南方电网智能远动机源端维护与订阅发布技术规范8.</w:t>
            </w:r>
            <w:r>
              <w:rPr>
                <w:rFonts w:ascii="宋体" w:hAnsi="宋体"/>
                <w:color w:val="auto"/>
                <w:highlight w:val="none"/>
              </w:rPr>
              <w:t>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Src03</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源端维护订阅流程检验</w:t>
            </w:r>
          </w:p>
        </w:tc>
        <w:tc>
          <w:tcPr>
            <w:tcW w:w="5245" w:type="dxa"/>
          </w:tcPr>
          <w:p>
            <w:pPr>
              <w:rPr>
                <w:rFonts w:ascii="宋体" w:hAnsi="宋体"/>
                <w:color w:val="auto"/>
                <w:highlight w:val="none"/>
              </w:rPr>
            </w:pPr>
            <w:r>
              <w:rPr>
                <w:rFonts w:hint="eastAsia" w:ascii="宋体" w:hAnsi="宋体"/>
                <w:color w:val="auto"/>
                <w:highlight w:val="none"/>
              </w:rPr>
              <w:t>GB/T 31994-2015 智能远动网关技术规范7.3</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第6篇：智能远动机功能规范4.6.2</w:t>
            </w:r>
          </w:p>
          <w:p>
            <w:pPr>
              <w:rPr>
                <w:rFonts w:ascii="宋体" w:hAnsi="宋体"/>
                <w:color w:val="auto"/>
                <w:highlight w:val="none"/>
              </w:rPr>
            </w:pPr>
            <w:r>
              <w:rPr>
                <w:rFonts w:ascii="宋体" w:hAnsi="宋体"/>
                <w:color w:val="auto"/>
                <w:highlight w:val="none"/>
              </w:rPr>
              <w:t>Q/CSG XXX-XXXX</w:t>
            </w:r>
            <w:r>
              <w:rPr>
                <w:rFonts w:hint="eastAsia" w:ascii="宋体" w:hAnsi="宋体"/>
                <w:color w:val="auto"/>
                <w:highlight w:val="none"/>
              </w:rPr>
              <w:t>南方电网智能远动机源端维护与订阅发布技术规范8.</w:t>
            </w:r>
            <w:r>
              <w:rPr>
                <w:rFonts w:ascii="宋体" w:hAnsi="宋体"/>
                <w:color w:val="auto"/>
                <w:highlight w:val="none"/>
              </w:rPr>
              <w:t>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Src04</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多通道转发表配置功能检验</w:t>
            </w:r>
          </w:p>
        </w:tc>
        <w:tc>
          <w:tcPr>
            <w:tcW w:w="5245" w:type="dxa"/>
          </w:tcPr>
          <w:p>
            <w:pPr>
              <w:rPr>
                <w:color w:val="auto"/>
                <w:highlight w:val="none"/>
              </w:rPr>
            </w:pPr>
            <w:r>
              <w:rPr>
                <w:rFonts w:ascii="宋体" w:hAnsi="宋体"/>
                <w:color w:val="auto"/>
                <w:highlight w:val="none"/>
              </w:rPr>
              <w:t>Q/CSG XXX-XXXX</w:t>
            </w:r>
            <w:r>
              <w:rPr>
                <w:rFonts w:hint="eastAsia"/>
                <w:color w:val="auto"/>
                <w:highlight w:val="none"/>
              </w:rPr>
              <w:t>南方电网智能远动机源端维护与订阅发布技术规范7.2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Src05</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过程显示与日志功能检验</w:t>
            </w:r>
          </w:p>
        </w:tc>
        <w:tc>
          <w:tcPr>
            <w:tcW w:w="5245" w:type="dxa"/>
          </w:tcPr>
          <w:p>
            <w:pPr>
              <w:rPr>
                <w:rFonts w:ascii="宋体" w:hAnsi="宋体"/>
                <w:color w:val="auto"/>
                <w:highlight w:val="none"/>
              </w:rPr>
            </w:pPr>
            <w:r>
              <w:rPr>
                <w:rFonts w:ascii="宋体" w:hAnsi="宋体"/>
                <w:color w:val="auto"/>
                <w:highlight w:val="none"/>
              </w:rPr>
              <w:t>Q/CSG XXX-XXXX</w:t>
            </w:r>
            <w:r>
              <w:rPr>
                <w:rFonts w:hint="eastAsia"/>
                <w:color w:val="auto"/>
                <w:highlight w:val="none"/>
              </w:rPr>
              <w:t>南方电网智能远动机源端维护与订阅发布技术规范7.2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S</w:t>
            </w:r>
            <w:r>
              <w:rPr>
                <w:rFonts w:ascii="宋体" w:hAnsi="宋体"/>
                <w:color w:val="auto"/>
                <w:sz w:val="22"/>
                <w:szCs w:val="22"/>
                <w:highlight w:val="none"/>
              </w:rPr>
              <w:t>rc06</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w:t>
            </w:r>
            <w:r>
              <w:rPr>
                <w:rFonts w:hint="eastAsia"/>
                <w:color w:val="auto"/>
                <w:highlight w:val="none"/>
              </w:rPr>
              <w:t>文件校验响应时间检验</w:t>
            </w:r>
          </w:p>
        </w:tc>
        <w:tc>
          <w:tcPr>
            <w:tcW w:w="5245" w:type="dxa"/>
          </w:tcPr>
          <w:p>
            <w:pPr>
              <w:rPr>
                <w:rFonts w:ascii="宋体" w:hAnsi="宋体"/>
                <w:color w:val="auto"/>
                <w:highlight w:val="none"/>
              </w:rPr>
            </w:pPr>
            <w:r>
              <w:rPr>
                <w:rFonts w:ascii="宋体" w:hAnsi="宋体"/>
                <w:color w:val="auto"/>
                <w:highlight w:val="none"/>
              </w:rPr>
              <w:t>Q/CSG XXX-XXXX</w:t>
            </w:r>
            <w:r>
              <w:rPr>
                <w:rFonts w:hint="eastAsia"/>
                <w:color w:val="auto"/>
                <w:highlight w:val="none"/>
              </w:rPr>
              <w:t>南方电网智能远动机源端维护与订阅发布技术规范10</w:t>
            </w:r>
          </w:p>
        </w:tc>
      </w:tr>
    </w:tbl>
    <w:p>
      <w:pPr>
        <w:rPr>
          <w:color w:val="auto"/>
          <w:highlight w:val="none"/>
        </w:rPr>
      </w:pPr>
      <w:r>
        <w:rPr>
          <w:color w:val="auto"/>
          <w:highlight w:val="none"/>
        </w:rPr>
        <w:t>备注：源端维护功能在送样检测时以南网最新正式发布的相关技术规范为依据。</w:t>
      </w:r>
    </w:p>
    <w:p>
      <w:pPr>
        <w:pStyle w:val="3"/>
        <w:rPr>
          <w:color w:val="auto"/>
          <w:sz w:val="24"/>
          <w:szCs w:val="24"/>
          <w:highlight w:val="none"/>
        </w:rPr>
      </w:pPr>
      <w:bookmarkStart w:id="43" w:name="_Toc49258147"/>
      <w:bookmarkStart w:id="44" w:name="_Toc528273506"/>
      <w:r>
        <w:rPr>
          <w:rFonts w:hint="eastAsia"/>
          <w:color w:val="auto"/>
          <w:sz w:val="24"/>
          <w:szCs w:val="24"/>
          <w:highlight w:val="none"/>
        </w:rPr>
        <w:t>顺序控制功能检验</w:t>
      </w:r>
      <w:bookmarkEnd w:id="43"/>
      <w:bookmarkEnd w:id="44"/>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Ctl01</w:t>
            </w:r>
          </w:p>
        </w:tc>
        <w:tc>
          <w:tcPr>
            <w:tcW w:w="2410" w:type="dxa"/>
            <w:vAlign w:val="center"/>
          </w:tcPr>
          <w:p>
            <w:pPr>
              <w:rPr>
                <w:rFonts w:ascii="宋体" w:hAnsi="宋体"/>
                <w:color w:val="auto"/>
                <w:highlight w:val="none"/>
              </w:rPr>
            </w:pPr>
            <w:r>
              <w:rPr>
                <w:rFonts w:hint="eastAsia" w:ascii="宋体" w:hAnsi="宋体"/>
                <w:color w:val="auto"/>
                <w:highlight w:val="none"/>
              </w:rPr>
              <w:t>控制范围检验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Ctl02</w:t>
            </w:r>
          </w:p>
        </w:tc>
        <w:tc>
          <w:tcPr>
            <w:tcW w:w="2410" w:type="dxa"/>
            <w:vAlign w:val="center"/>
          </w:tcPr>
          <w:p>
            <w:pPr>
              <w:rPr>
                <w:rFonts w:ascii="宋体" w:hAnsi="宋体"/>
                <w:color w:val="auto"/>
                <w:highlight w:val="none"/>
              </w:rPr>
            </w:pPr>
            <w:r>
              <w:rPr>
                <w:rFonts w:hint="eastAsia" w:ascii="宋体" w:hAnsi="宋体"/>
                <w:color w:val="auto"/>
                <w:highlight w:val="none"/>
              </w:rPr>
              <w:t>操作结果检查功能检验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Ctl0</w:t>
            </w:r>
            <w:r>
              <w:rPr>
                <w:rFonts w:ascii="宋体" w:hAnsi="宋体"/>
                <w:color w:val="auto"/>
                <w:sz w:val="22"/>
                <w:szCs w:val="22"/>
                <w:highlight w:val="none"/>
              </w:rPr>
              <w:t>3</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防误逻辑检验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Ctl0</w:t>
            </w:r>
            <w:r>
              <w:rPr>
                <w:rFonts w:ascii="宋体" w:hAnsi="宋体"/>
                <w:color w:val="auto"/>
                <w:sz w:val="22"/>
                <w:szCs w:val="22"/>
                <w:highlight w:val="none"/>
              </w:rPr>
              <w:t>4</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操作票功能检验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Ctl0</w:t>
            </w:r>
            <w:r>
              <w:rPr>
                <w:rFonts w:ascii="宋体" w:hAnsi="宋体"/>
                <w:color w:val="auto"/>
                <w:sz w:val="22"/>
                <w:szCs w:val="22"/>
                <w:highlight w:val="none"/>
              </w:rPr>
              <w:t>5</w:t>
            </w:r>
          </w:p>
        </w:tc>
        <w:tc>
          <w:tcPr>
            <w:tcW w:w="2410" w:type="dxa"/>
            <w:vAlign w:val="center"/>
          </w:tcPr>
          <w:p>
            <w:pPr>
              <w:rPr>
                <w:rFonts w:ascii="宋体" w:hAnsi="宋体"/>
                <w:color w:val="auto"/>
                <w:highlight w:val="none"/>
              </w:rPr>
            </w:pPr>
            <w:r>
              <w:rPr>
                <w:rFonts w:hint="eastAsia" w:ascii="宋体" w:hAnsi="宋体"/>
                <w:color w:val="auto"/>
                <w:highlight w:val="none"/>
              </w:rPr>
              <w:t>顺控预演功能检验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Ctl0</w:t>
            </w:r>
            <w:r>
              <w:rPr>
                <w:rFonts w:ascii="宋体" w:hAnsi="宋体"/>
                <w:color w:val="auto"/>
                <w:sz w:val="22"/>
                <w:szCs w:val="22"/>
                <w:highlight w:val="none"/>
              </w:rPr>
              <w:t>6</w:t>
            </w:r>
          </w:p>
        </w:tc>
        <w:tc>
          <w:tcPr>
            <w:tcW w:w="2410"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操作控制功能检验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bl>
    <w:p>
      <w:pPr>
        <w:rPr>
          <w:color w:val="auto"/>
          <w:highlight w:val="none"/>
        </w:rPr>
      </w:pPr>
    </w:p>
    <w:p>
      <w:pPr>
        <w:pStyle w:val="3"/>
        <w:rPr>
          <w:color w:val="auto"/>
          <w:sz w:val="24"/>
          <w:szCs w:val="24"/>
          <w:highlight w:val="none"/>
        </w:rPr>
      </w:pPr>
      <w:bookmarkStart w:id="45" w:name="_Toc49258148"/>
      <w:bookmarkStart w:id="46" w:name="_Toc528273507"/>
      <w:r>
        <w:rPr>
          <w:rFonts w:hint="eastAsia"/>
          <w:color w:val="auto"/>
          <w:sz w:val="24"/>
          <w:szCs w:val="24"/>
          <w:highlight w:val="none"/>
        </w:rPr>
        <w:t>电压无功控制功能检验</w:t>
      </w:r>
      <w:bookmarkEnd w:id="45"/>
      <w:bookmarkEnd w:id="46"/>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Vqc01</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运行方式检验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Vqc02</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闭锁功能检验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Vqc03</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实时监测功能检验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Vqc04</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参数设置功能检验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Vqc05</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并列识别功能检验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Vqc06</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调节操作记录功能检验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Vqc07</w:t>
            </w:r>
          </w:p>
        </w:tc>
        <w:tc>
          <w:tcPr>
            <w:tcW w:w="2410" w:type="dxa"/>
            <w:vAlign w:val="center"/>
          </w:tcPr>
          <w:p>
            <w:pPr>
              <w:autoSpaceDE w:val="0"/>
              <w:autoSpaceDN w:val="0"/>
              <w:adjustRightInd w:val="0"/>
              <w:rPr>
                <w:color w:val="auto"/>
                <w:highlight w:val="none"/>
              </w:rPr>
            </w:pPr>
            <w:r>
              <w:rPr>
                <w:rFonts w:hint="eastAsia"/>
                <w:color w:val="auto"/>
                <w:highlight w:val="none"/>
              </w:rPr>
              <w:t>控制记录功能检验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5</w:t>
            </w:r>
          </w:p>
        </w:tc>
      </w:tr>
    </w:tbl>
    <w:p>
      <w:pPr>
        <w:rPr>
          <w:color w:val="auto"/>
          <w:highlight w:val="none"/>
        </w:rPr>
      </w:pPr>
    </w:p>
    <w:p>
      <w:pPr>
        <w:pStyle w:val="3"/>
        <w:rPr>
          <w:color w:val="auto"/>
          <w:sz w:val="24"/>
          <w:szCs w:val="24"/>
          <w:highlight w:val="none"/>
        </w:rPr>
      </w:pPr>
      <w:bookmarkStart w:id="47" w:name="_Toc49258149"/>
      <w:bookmarkStart w:id="48" w:name="_Toc528273508"/>
      <w:r>
        <w:rPr>
          <w:rFonts w:hint="eastAsia"/>
          <w:color w:val="auto"/>
          <w:sz w:val="24"/>
          <w:szCs w:val="24"/>
          <w:highlight w:val="none"/>
        </w:rPr>
        <w:t>监控终端功能检验</w:t>
      </w:r>
      <w:bookmarkEnd w:id="47"/>
      <w:bookmarkEnd w:id="48"/>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Mot</w:t>
            </w:r>
            <w:r>
              <w:rPr>
                <w:rFonts w:hint="eastAsia" w:ascii="宋体" w:hAnsi="宋体"/>
                <w:color w:val="auto"/>
                <w:sz w:val="22"/>
                <w:szCs w:val="22"/>
                <w:highlight w:val="none"/>
              </w:rPr>
              <w:t>01</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画面展示功能检验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Mot</w:t>
            </w:r>
            <w:r>
              <w:rPr>
                <w:rFonts w:hint="eastAsia" w:ascii="宋体" w:hAnsi="宋体"/>
                <w:color w:val="auto"/>
                <w:sz w:val="22"/>
                <w:szCs w:val="22"/>
                <w:highlight w:val="none"/>
              </w:rPr>
              <w:t>02</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画面操作功能检验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Mot</w:t>
            </w:r>
            <w:r>
              <w:rPr>
                <w:rFonts w:hint="eastAsia" w:ascii="宋体" w:hAnsi="宋体"/>
                <w:color w:val="auto"/>
                <w:sz w:val="22"/>
                <w:szCs w:val="22"/>
                <w:highlight w:val="none"/>
              </w:rPr>
              <w:t>03</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信息查看和检索功能检验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Mot</w:t>
            </w:r>
            <w:r>
              <w:rPr>
                <w:rFonts w:hint="eastAsia" w:ascii="宋体" w:hAnsi="宋体"/>
                <w:color w:val="auto"/>
                <w:sz w:val="22"/>
                <w:szCs w:val="22"/>
                <w:highlight w:val="none"/>
              </w:rPr>
              <w:t>04</w:t>
            </w:r>
          </w:p>
        </w:tc>
        <w:tc>
          <w:tcPr>
            <w:tcW w:w="2410" w:type="dxa"/>
            <w:vAlign w:val="center"/>
          </w:tcPr>
          <w:p>
            <w:pPr>
              <w:autoSpaceDE w:val="0"/>
              <w:autoSpaceDN w:val="0"/>
              <w:adjustRightInd w:val="0"/>
              <w:rPr>
                <w:color w:val="auto"/>
                <w:highlight w:val="none"/>
              </w:rPr>
            </w:pPr>
            <w:r>
              <w:rPr>
                <w:rFonts w:hint="eastAsia"/>
                <w:color w:val="auto"/>
                <w:highlight w:val="none"/>
              </w:rPr>
              <w:t>即插即用功能检验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11</w:t>
            </w:r>
          </w:p>
        </w:tc>
      </w:tr>
    </w:tbl>
    <w:p>
      <w:pPr>
        <w:rPr>
          <w:color w:val="auto"/>
          <w:highlight w:val="none"/>
        </w:rPr>
      </w:pPr>
    </w:p>
    <w:p>
      <w:pPr>
        <w:pStyle w:val="3"/>
        <w:rPr>
          <w:color w:val="auto"/>
          <w:sz w:val="24"/>
          <w:szCs w:val="24"/>
          <w:highlight w:val="none"/>
        </w:rPr>
      </w:pPr>
      <w:bookmarkStart w:id="49" w:name="_Toc528273509"/>
      <w:bookmarkStart w:id="50" w:name="_Toc49258150"/>
      <w:r>
        <w:rPr>
          <w:rFonts w:hint="eastAsia"/>
          <w:color w:val="auto"/>
          <w:sz w:val="24"/>
          <w:szCs w:val="24"/>
          <w:highlight w:val="none"/>
        </w:rPr>
        <w:t>防误闭锁功能检验</w:t>
      </w:r>
      <w:bookmarkEnd w:id="49"/>
      <w:bookmarkEnd w:id="50"/>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Blk</w:t>
            </w:r>
            <w:r>
              <w:rPr>
                <w:rFonts w:hint="eastAsia" w:ascii="宋体" w:hAnsi="宋体"/>
                <w:color w:val="auto"/>
                <w:sz w:val="22"/>
                <w:szCs w:val="22"/>
                <w:highlight w:val="none"/>
              </w:rPr>
              <w:t>01</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防误闭锁功能检验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10</w:t>
            </w:r>
          </w:p>
        </w:tc>
      </w:tr>
    </w:tbl>
    <w:p>
      <w:pPr>
        <w:rPr>
          <w:color w:val="auto"/>
          <w:highlight w:val="none"/>
        </w:rPr>
      </w:pPr>
    </w:p>
    <w:p>
      <w:pPr>
        <w:pStyle w:val="3"/>
        <w:rPr>
          <w:color w:val="auto"/>
          <w:sz w:val="24"/>
          <w:szCs w:val="24"/>
          <w:highlight w:val="none"/>
        </w:rPr>
      </w:pPr>
      <w:bookmarkStart w:id="51" w:name="_Toc528273510"/>
      <w:bookmarkStart w:id="52" w:name="_Toc49258151"/>
      <w:r>
        <w:rPr>
          <w:rFonts w:hint="eastAsia"/>
          <w:color w:val="auto"/>
          <w:sz w:val="24"/>
          <w:szCs w:val="24"/>
          <w:highlight w:val="none"/>
        </w:rPr>
        <w:t>对时和时间管理功能检验</w:t>
      </w:r>
      <w:bookmarkEnd w:id="51"/>
      <w:bookmarkEnd w:id="52"/>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hint="eastAsia" w:ascii="宋体" w:hAnsi="宋体"/>
                <w:color w:val="auto"/>
                <w:sz w:val="22"/>
                <w:szCs w:val="22"/>
                <w:highlight w:val="none"/>
              </w:rPr>
              <w:t>T</w:t>
            </w:r>
            <w:r>
              <w:rPr>
                <w:rFonts w:ascii="宋体" w:hAnsi="宋体"/>
                <w:color w:val="auto"/>
                <w:sz w:val="22"/>
                <w:szCs w:val="22"/>
                <w:highlight w:val="none"/>
              </w:rPr>
              <w:t>im</w:t>
            </w:r>
            <w:r>
              <w:rPr>
                <w:rFonts w:hint="eastAsia" w:ascii="宋体" w:hAnsi="宋体"/>
                <w:color w:val="auto"/>
                <w:sz w:val="22"/>
                <w:szCs w:val="22"/>
                <w:highlight w:val="none"/>
              </w:rPr>
              <w:t>01</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时间同步功能检验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6.1</w:t>
            </w:r>
          </w:p>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4.6.1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T</w:t>
            </w:r>
            <w:r>
              <w:rPr>
                <w:rFonts w:ascii="宋体" w:hAnsi="宋体"/>
                <w:color w:val="auto"/>
                <w:sz w:val="22"/>
                <w:szCs w:val="22"/>
                <w:highlight w:val="none"/>
              </w:rPr>
              <w:t>im</w:t>
            </w:r>
            <w:r>
              <w:rPr>
                <w:rFonts w:hint="eastAsia" w:ascii="宋体" w:hAnsi="宋体"/>
                <w:color w:val="auto"/>
                <w:sz w:val="22"/>
                <w:szCs w:val="22"/>
                <w:highlight w:val="none"/>
              </w:rPr>
              <w:t>02</w:t>
            </w:r>
          </w:p>
        </w:tc>
        <w:tc>
          <w:tcPr>
            <w:tcW w:w="2410" w:type="dxa"/>
            <w:vAlign w:val="center"/>
          </w:tcPr>
          <w:p>
            <w:pPr>
              <w:autoSpaceDE w:val="0"/>
              <w:autoSpaceDN w:val="0"/>
              <w:adjustRightInd w:val="0"/>
              <w:rPr>
                <w:color w:val="auto"/>
                <w:highlight w:val="none"/>
              </w:rPr>
            </w:pPr>
            <w:r>
              <w:rPr>
                <w:rFonts w:hint="eastAsia" w:ascii="Arial" w:hAnsi="Arial" w:cs="Arial"/>
                <w:color w:val="auto"/>
                <w:szCs w:val="21"/>
                <w:highlight w:val="none"/>
              </w:rPr>
              <w:t>*</w:t>
            </w:r>
            <w:r>
              <w:rPr>
                <w:rFonts w:hint="eastAsia"/>
                <w:color w:val="auto"/>
                <w:highlight w:val="none"/>
              </w:rPr>
              <w:t>时间同步监测管理功能检验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6.2</w:t>
            </w:r>
          </w:p>
        </w:tc>
      </w:tr>
    </w:tbl>
    <w:p>
      <w:pPr>
        <w:rPr>
          <w:color w:val="auto"/>
          <w:highlight w:val="none"/>
        </w:rPr>
      </w:pPr>
    </w:p>
    <w:p>
      <w:pPr>
        <w:pStyle w:val="3"/>
        <w:rPr>
          <w:color w:val="auto"/>
          <w:sz w:val="24"/>
          <w:szCs w:val="24"/>
          <w:highlight w:val="none"/>
        </w:rPr>
      </w:pPr>
      <w:bookmarkStart w:id="53" w:name="_Toc49258152"/>
      <w:bookmarkStart w:id="54" w:name="_Toc528273511"/>
      <w:r>
        <w:rPr>
          <w:rFonts w:hint="eastAsia"/>
          <w:color w:val="auto"/>
          <w:sz w:val="24"/>
          <w:szCs w:val="24"/>
          <w:highlight w:val="none"/>
        </w:rPr>
        <w:t>冗余功能检验</w:t>
      </w:r>
      <w:bookmarkEnd w:id="53"/>
      <w:bookmarkEnd w:id="54"/>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D</w:t>
            </w:r>
            <w:r>
              <w:rPr>
                <w:rFonts w:ascii="宋体" w:hAnsi="宋体"/>
                <w:color w:val="auto"/>
                <w:sz w:val="22"/>
                <w:szCs w:val="22"/>
                <w:highlight w:val="none"/>
              </w:rPr>
              <w:t>bl01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*双机冗余功能检验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7</w:t>
            </w:r>
          </w:p>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4.6.1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Dbl02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*双通道冗余功能检验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7</w:t>
            </w:r>
          </w:p>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4.6.1</w:t>
            </w:r>
          </w:p>
        </w:tc>
      </w:tr>
    </w:tbl>
    <w:p>
      <w:pPr>
        <w:rPr>
          <w:color w:val="auto"/>
          <w:highlight w:val="none"/>
        </w:rPr>
      </w:pPr>
    </w:p>
    <w:p>
      <w:pPr>
        <w:pStyle w:val="3"/>
        <w:rPr>
          <w:color w:val="auto"/>
          <w:sz w:val="24"/>
          <w:szCs w:val="24"/>
          <w:highlight w:val="none"/>
        </w:rPr>
      </w:pPr>
      <w:bookmarkStart w:id="55" w:name="_Toc49258153"/>
      <w:bookmarkStart w:id="56" w:name="_Toc528273512"/>
      <w:r>
        <w:rPr>
          <w:rFonts w:hint="eastAsia"/>
          <w:color w:val="auto"/>
          <w:sz w:val="24"/>
          <w:szCs w:val="24"/>
          <w:highlight w:val="none"/>
        </w:rPr>
        <w:t>通道监视功能检验</w:t>
      </w:r>
      <w:bookmarkEnd w:id="55"/>
      <w:bookmarkEnd w:id="56"/>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Cmo</w:t>
            </w:r>
            <w:r>
              <w:rPr>
                <w:rFonts w:hint="eastAsia" w:ascii="宋体" w:hAnsi="宋体"/>
                <w:color w:val="auto"/>
                <w:sz w:val="22"/>
                <w:szCs w:val="22"/>
                <w:highlight w:val="none"/>
              </w:rPr>
              <w:t>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*通道监视功能检验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8</w:t>
            </w:r>
          </w:p>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4.6.1</w:t>
            </w:r>
          </w:p>
        </w:tc>
      </w:tr>
    </w:tbl>
    <w:p>
      <w:pPr>
        <w:rPr>
          <w:color w:val="auto"/>
          <w:highlight w:val="none"/>
        </w:rPr>
      </w:pPr>
    </w:p>
    <w:p>
      <w:pPr>
        <w:pStyle w:val="3"/>
        <w:rPr>
          <w:color w:val="auto"/>
          <w:sz w:val="24"/>
          <w:szCs w:val="24"/>
          <w:highlight w:val="none"/>
        </w:rPr>
      </w:pPr>
      <w:bookmarkStart w:id="57" w:name="_Toc528273513"/>
      <w:bookmarkStart w:id="58" w:name="_Toc49258154"/>
      <w:r>
        <w:rPr>
          <w:rFonts w:hint="eastAsia"/>
          <w:color w:val="auto"/>
          <w:sz w:val="24"/>
          <w:szCs w:val="24"/>
          <w:highlight w:val="none"/>
        </w:rPr>
        <w:t>自检和日志功能检验</w:t>
      </w:r>
      <w:bookmarkEnd w:id="57"/>
      <w:bookmarkEnd w:id="58"/>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Lo</w:t>
            </w:r>
            <w:r>
              <w:rPr>
                <w:rFonts w:ascii="宋体" w:hAnsi="宋体"/>
                <w:color w:val="auto"/>
                <w:sz w:val="22"/>
                <w:szCs w:val="22"/>
                <w:highlight w:val="none"/>
              </w:rPr>
              <w:t>g</w:t>
            </w:r>
            <w:r>
              <w:rPr>
                <w:rFonts w:hint="eastAsia" w:ascii="宋体" w:hAnsi="宋体"/>
                <w:color w:val="auto"/>
                <w:sz w:val="22"/>
                <w:szCs w:val="22"/>
                <w:highlight w:val="none"/>
              </w:rPr>
              <w:t>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自诊断功能检验</w:t>
            </w:r>
          </w:p>
        </w:tc>
        <w:tc>
          <w:tcPr>
            <w:tcW w:w="5245" w:type="dxa"/>
            <w:vAlign w:val="center"/>
          </w:tcPr>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4.6.1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tcBorders>
              <w:top w:val="single" w:color="auto" w:sz="2" w:space="0"/>
              <w:left w:val="single" w:color="auto" w:sz="12" w:space="0"/>
              <w:bottom w:val="single" w:color="auto" w:sz="2" w:space="0"/>
              <w:right w:val="single" w:color="auto" w:sz="2" w:space="0"/>
            </w:tcBorders>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Log02</w:t>
            </w:r>
          </w:p>
        </w:tc>
        <w:tc>
          <w:tcPr>
            <w:tcW w:w="2410" w:type="dxa"/>
            <w:tcBorders>
              <w:top w:val="single" w:color="auto" w:sz="2" w:space="0"/>
              <w:left w:val="single" w:color="auto" w:sz="2" w:space="0"/>
              <w:bottom w:val="single" w:color="auto" w:sz="2" w:space="0"/>
              <w:right w:val="single" w:color="auto" w:sz="2" w:space="0"/>
            </w:tcBorders>
            <w:vAlign w:val="center"/>
          </w:tcPr>
          <w:p>
            <w:pPr>
              <w:rPr>
                <w:rFonts w:ascii="Arial" w:hAnsi="Arial" w:cs="Arial"/>
                <w:color w:val="auto"/>
                <w:szCs w:val="21"/>
                <w:highlight w:val="none"/>
              </w:rPr>
            </w:pPr>
            <w:r>
              <w:rPr>
                <w:rFonts w:hint="eastAsia" w:ascii="Arial" w:hAnsi="Arial" w:cs="Arial"/>
                <w:color w:val="auto"/>
                <w:szCs w:val="21"/>
                <w:highlight w:val="none"/>
              </w:rPr>
              <w:t>*日志功能检验</w:t>
            </w:r>
          </w:p>
        </w:tc>
        <w:tc>
          <w:tcPr>
            <w:tcW w:w="5245" w:type="dxa"/>
            <w:tcBorders>
              <w:top w:val="single" w:color="auto" w:sz="2" w:space="0"/>
              <w:left w:val="single" w:color="auto" w:sz="2" w:space="0"/>
              <w:bottom w:val="single" w:color="auto" w:sz="2" w:space="0"/>
              <w:right w:val="single" w:color="auto" w:sz="12" w:space="0"/>
            </w:tcBorders>
            <w:vAlign w:val="center"/>
          </w:tcPr>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4.6.1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tcBorders>
              <w:top w:val="single" w:color="auto" w:sz="2" w:space="0"/>
              <w:left w:val="single" w:color="auto" w:sz="12" w:space="0"/>
              <w:bottom w:val="single" w:color="auto" w:sz="12" w:space="0"/>
              <w:right w:val="single" w:color="auto" w:sz="2" w:space="0"/>
            </w:tcBorders>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L</w:t>
            </w:r>
            <w:r>
              <w:rPr>
                <w:rFonts w:ascii="宋体" w:hAnsi="宋体"/>
                <w:color w:val="auto"/>
                <w:sz w:val="22"/>
                <w:szCs w:val="22"/>
                <w:highlight w:val="none"/>
              </w:rPr>
              <w:t>og03</w:t>
            </w:r>
          </w:p>
        </w:tc>
        <w:tc>
          <w:tcPr>
            <w:tcW w:w="2410" w:type="dxa"/>
            <w:tcBorders>
              <w:top w:val="single" w:color="auto" w:sz="2" w:space="0"/>
              <w:left w:val="single" w:color="auto" w:sz="2" w:space="0"/>
              <w:bottom w:val="single" w:color="auto" w:sz="12" w:space="0"/>
              <w:right w:val="single" w:color="auto" w:sz="2" w:space="0"/>
            </w:tcBorders>
            <w:vAlign w:val="center"/>
          </w:tcPr>
          <w:p>
            <w:pPr>
              <w:rPr>
                <w:rFonts w:ascii="Arial" w:hAnsi="Arial" w:cs="Arial"/>
                <w:color w:val="auto"/>
                <w:szCs w:val="21"/>
                <w:highlight w:val="none"/>
              </w:rPr>
            </w:pPr>
            <w:r>
              <w:rPr>
                <w:rFonts w:hint="eastAsia" w:ascii="Arial" w:hAnsi="Arial" w:cs="Arial"/>
                <w:color w:val="auto"/>
                <w:szCs w:val="21"/>
                <w:highlight w:val="none"/>
              </w:rPr>
              <w:t>*模块独立性检验</w:t>
            </w:r>
          </w:p>
        </w:tc>
        <w:tc>
          <w:tcPr>
            <w:tcW w:w="5245" w:type="dxa"/>
            <w:tcBorders>
              <w:top w:val="single" w:color="auto" w:sz="2" w:space="0"/>
              <w:left w:val="single" w:color="auto" w:sz="2" w:space="0"/>
              <w:bottom w:val="single" w:color="auto" w:sz="12" w:space="0"/>
              <w:right w:val="single" w:color="auto" w:sz="12" w:space="0"/>
            </w:tcBorders>
            <w:vAlign w:val="center"/>
          </w:tcPr>
          <w:p>
            <w:pPr>
              <w:rPr>
                <w:rFonts w:ascii="宋体" w:hAnsi="宋体"/>
                <w:color w:val="auto"/>
                <w:highlight w:val="none"/>
              </w:rPr>
            </w:pPr>
            <w:r>
              <w:rPr>
                <w:rFonts w:hint="eastAsia" w:ascii="宋体" w:hAnsi="宋体"/>
                <w:color w:val="auto"/>
                <w:highlight w:val="none"/>
              </w:rPr>
              <w:t>/</w:t>
            </w:r>
          </w:p>
        </w:tc>
      </w:tr>
    </w:tbl>
    <w:p>
      <w:pPr>
        <w:rPr>
          <w:color w:val="auto"/>
          <w:highlight w:val="none"/>
        </w:rPr>
      </w:pPr>
    </w:p>
    <w:p>
      <w:pPr>
        <w:pStyle w:val="3"/>
        <w:rPr>
          <w:color w:val="auto"/>
          <w:sz w:val="24"/>
          <w:szCs w:val="24"/>
          <w:highlight w:val="none"/>
        </w:rPr>
      </w:pPr>
      <w:bookmarkStart w:id="59" w:name="_Toc528273514"/>
      <w:bookmarkStart w:id="60" w:name="_Toc49258155"/>
      <w:r>
        <w:rPr>
          <w:rFonts w:hint="eastAsia"/>
          <w:color w:val="auto"/>
          <w:sz w:val="24"/>
          <w:szCs w:val="24"/>
          <w:highlight w:val="none"/>
        </w:rPr>
        <w:t>性能指标检验</w:t>
      </w:r>
      <w:bookmarkEnd w:id="59"/>
      <w:bookmarkEnd w:id="60"/>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w:t>
            </w:r>
            <w:r>
              <w:rPr>
                <w:rFonts w:ascii="宋体" w:hAnsi="宋体"/>
                <w:color w:val="auto"/>
                <w:sz w:val="22"/>
                <w:szCs w:val="22"/>
                <w:highlight w:val="none"/>
              </w:rPr>
              <w:t>ef01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*接入能力检验</w:t>
            </w:r>
          </w:p>
        </w:tc>
        <w:tc>
          <w:tcPr>
            <w:tcW w:w="5245" w:type="dxa"/>
            <w:vAlign w:val="center"/>
          </w:tcPr>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4.7</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Pef02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*响应时间检验</w:t>
            </w:r>
          </w:p>
        </w:tc>
        <w:tc>
          <w:tcPr>
            <w:tcW w:w="5245" w:type="dxa"/>
            <w:vAlign w:val="center"/>
          </w:tcPr>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4.7</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Pef03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*雪崩检验</w:t>
            </w:r>
          </w:p>
        </w:tc>
        <w:tc>
          <w:tcPr>
            <w:tcW w:w="5245" w:type="dxa"/>
            <w:vAlign w:val="center"/>
          </w:tcPr>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4.7</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Pef04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*遥控成功率检验</w:t>
            </w:r>
          </w:p>
        </w:tc>
        <w:tc>
          <w:tcPr>
            <w:tcW w:w="5245" w:type="dxa"/>
            <w:vAlign w:val="center"/>
          </w:tcPr>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4.7</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Pef05</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*系统资源技术指标检验</w:t>
            </w:r>
          </w:p>
        </w:tc>
        <w:tc>
          <w:tcPr>
            <w:tcW w:w="5245" w:type="dxa"/>
            <w:vAlign w:val="center"/>
          </w:tcPr>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4.7</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w:t>
            </w:r>
            <w:r>
              <w:rPr>
                <w:rFonts w:ascii="宋体" w:hAnsi="宋体"/>
                <w:color w:val="auto"/>
                <w:sz w:val="22"/>
                <w:szCs w:val="22"/>
                <w:highlight w:val="none"/>
              </w:rPr>
              <w:t>ef06</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同一I</w:t>
            </w:r>
            <w:r>
              <w:rPr>
                <w:rFonts w:ascii="Arial" w:hAnsi="Arial" w:cs="Arial"/>
                <w:color w:val="auto"/>
                <w:szCs w:val="21"/>
                <w:highlight w:val="none"/>
              </w:rPr>
              <w:t>P地址多连接检验</w:t>
            </w:r>
          </w:p>
        </w:tc>
        <w:tc>
          <w:tcPr>
            <w:tcW w:w="5245" w:type="dxa"/>
            <w:vAlign w:val="center"/>
          </w:tcPr>
          <w:p>
            <w:pPr>
              <w:rPr>
                <w:rFonts w:ascii="宋体" w:hAnsi="宋体"/>
                <w:color w:val="auto"/>
                <w:highlight w:val="none"/>
              </w:rPr>
            </w:pPr>
            <w:r>
              <w:rPr>
                <w:rFonts w:ascii="宋体" w:hAnsi="宋体"/>
                <w:color w:val="auto"/>
                <w:highlight w:val="none"/>
              </w:rPr>
              <w:t>DL/T 1950-2018</w:t>
            </w:r>
            <w:r>
              <w:rPr>
                <w:rFonts w:hint="eastAsia" w:ascii="宋体" w:hAnsi="宋体"/>
                <w:color w:val="auto"/>
                <w:highlight w:val="none"/>
              </w:rPr>
              <w:t>变电站数据通信网关机检测规范</w:t>
            </w:r>
            <w:r>
              <w:rPr>
                <w:rFonts w:ascii="宋体" w:hAnsi="宋体"/>
                <w:color w:val="auto"/>
                <w:highlight w:val="none"/>
              </w:rPr>
              <w:t>7.4.1.8</w:t>
            </w:r>
          </w:p>
        </w:tc>
      </w:tr>
    </w:tbl>
    <w:p>
      <w:pPr>
        <w:rPr>
          <w:color w:val="auto"/>
          <w:highlight w:val="none"/>
        </w:rPr>
      </w:pPr>
    </w:p>
    <w:p>
      <w:pPr>
        <w:pStyle w:val="3"/>
        <w:rPr>
          <w:color w:val="auto"/>
          <w:sz w:val="24"/>
          <w:szCs w:val="24"/>
          <w:highlight w:val="none"/>
        </w:rPr>
      </w:pPr>
      <w:bookmarkStart w:id="61" w:name="_Toc528273515"/>
      <w:bookmarkStart w:id="62" w:name="_Toc49258156"/>
      <w:r>
        <w:rPr>
          <w:rFonts w:hint="eastAsia"/>
          <w:color w:val="auto"/>
          <w:sz w:val="24"/>
          <w:szCs w:val="24"/>
          <w:highlight w:val="none"/>
        </w:rPr>
        <w:t>规约一致性检验</w:t>
      </w:r>
      <w:bookmarkEnd w:id="61"/>
      <w:bookmarkEnd w:id="62"/>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w:t>
            </w:r>
            <w:r>
              <w:rPr>
                <w:rFonts w:ascii="宋体" w:hAnsi="宋体"/>
                <w:color w:val="auto"/>
                <w:sz w:val="22"/>
                <w:szCs w:val="22"/>
                <w:highlight w:val="none"/>
              </w:rPr>
              <w:t>ot01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101规约一致性检验</w:t>
            </w:r>
          </w:p>
        </w:tc>
        <w:tc>
          <w:tcPr>
            <w:tcW w:w="5245" w:type="dxa"/>
            <w:vAlign w:val="center"/>
          </w:tcPr>
          <w:p>
            <w:pPr>
              <w:rPr>
                <w:rFonts w:ascii="宋体" w:hAnsi="宋体"/>
                <w:color w:val="auto"/>
                <w:highlight w:val="none"/>
              </w:rPr>
            </w:pPr>
            <w:r>
              <w:rPr>
                <w:rFonts w:hint="eastAsia" w:ascii="宋体" w:hAnsi="宋体"/>
                <w:color w:val="auto"/>
                <w:highlight w:val="none"/>
              </w:rPr>
              <w:t>DL/T 634.5101-2002 远动设备及系统 第5 部分：传输规约 第101 篇：基本远动任务配套标准</w:t>
            </w:r>
          </w:p>
          <w:p>
            <w:pPr>
              <w:rPr>
                <w:rFonts w:ascii="宋体" w:hAnsi="宋体"/>
                <w:color w:val="auto"/>
                <w:highlight w:val="none"/>
              </w:rPr>
            </w:pPr>
            <w:r>
              <w:rPr>
                <w:rFonts w:hint="eastAsia" w:ascii="宋体" w:hAnsi="宋体"/>
                <w:color w:val="auto"/>
                <w:highlight w:val="none"/>
              </w:rPr>
              <w:t>Q/CSG 110007-2012 DL634.5.101-2002远动协议南方电网实施细则(V1.0)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w:t>
            </w:r>
            <w:r>
              <w:rPr>
                <w:rFonts w:ascii="宋体" w:hAnsi="宋体"/>
                <w:color w:val="auto"/>
                <w:sz w:val="22"/>
                <w:szCs w:val="22"/>
                <w:highlight w:val="none"/>
              </w:rPr>
              <w:t>ot02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104规约一致性检验</w:t>
            </w:r>
          </w:p>
        </w:tc>
        <w:tc>
          <w:tcPr>
            <w:tcW w:w="5245" w:type="dxa"/>
            <w:vAlign w:val="center"/>
          </w:tcPr>
          <w:p>
            <w:pPr>
              <w:rPr>
                <w:rFonts w:ascii="宋体" w:hAnsi="宋体"/>
                <w:color w:val="auto"/>
                <w:highlight w:val="none"/>
              </w:rPr>
            </w:pPr>
            <w:r>
              <w:rPr>
                <w:rFonts w:hint="eastAsia" w:ascii="宋体" w:hAnsi="宋体"/>
                <w:color w:val="auto"/>
                <w:highlight w:val="none"/>
              </w:rPr>
              <w:t>DL/T 634.5104-2009 远动设备及系统 第5-104部分：传输规约 采用标准传输协议集的IEC60870-5-101网络访问</w:t>
            </w:r>
          </w:p>
          <w:p>
            <w:pPr>
              <w:rPr>
                <w:rFonts w:ascii="宋体" w:hAnsi="宋体"/>
                <w:color w:val="auto"/>
                <w:highlight w:val="none"/>
              </w:rPr>
            </w:pPr>
            <w:r>
              <w:rPr>
                <w:rFonts w:hint="eastAsia" w:ascii="宋体" w:hAnsi="宋体"/>
                <w:color w:val="auto"/>
                <w:highlight w:val="none"/>
              </w:rPr>
              <w:t>Q/CSG 110006-2012 DL634.5.104-2002远动协议南方电网实施细则(V1.0)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w:t>
            </w:r>
            <w:r>
              <w:rPr>
                <w:rFonts w:ascii="宋体" w:hAnsi="宋体"/>
                <w:color w:val="auto"/>
                <w:sz w:val="22"/>
                <w:szCs w:val="22"/>
                <w:highlight w:val="none"/>
              </w:rPr>
              <w:t>ot03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61850规约一致性检验</w:t>
            </w:r>
          </w:p>
        </w:tc>
        <w:tc>
          <w:tcPr>
            <w:tcW w:w="5245" w:type="dxa"/>
            <w:vAlign w:val="center"/>
          </w:tcPr>
          <w:p>
            <w:pPr>
              <w:rPr>
                <w:rFonts w:ascii="宋体" w:hAnsi="宋体"/>
                <w:color w:val="auto"/>
                <w:highlight w:val="none"/>
              </w:rPr>
            </w:pPr>
            <w:r>
              <w:rPr>
                <w:rFonts w:hint="eastAsia" w:ascii="宋体" w:hAnsi="宋体"/>
                <w:color w:val="auto"/>
                <w:highlight w:val="none"/>
              </w:rPr>
              <w:t>DL/T 860 变电站和系统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w:t>
            </w:r>
            <w:r>
              <w:rPr>
                <w:rFonts w:ascii="宋体" w:hAnsi="宋体"/>
                <w:color w:val="auto"/>
                <w:sz w:val="22"/>
                <w:szCs w:val="22"/>
                <w:highlight w:val="none"/>
              </w:rPr>
              <w:t>ot04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P</w:t>
            </w:r>
            <w:r>
              <w:rPr>
                <w:rFonts w:ascii="Arial" w:hAnsi="Arial" w:cs="Arial"/>
                <w:color w:val="auto"/>
                <w:szCs w:val="21"/>
                <w:highlight w:val="none"/>
              </w:rPr>
              <w:t>MU规约一致性检验</w:t>
            </w:r>
          </w:p>
        </w:tc>
        <w:tc>
          <w:tcPr>
            <w:tcW w:w="5245" w:type="dxa"/>
            <w:vAlign w:val="center"/>
          </w:tcPr>
          <w:p>
            <w:pPr>
              <w:rPr>
                <w:rFonts w:ascii="宋体" w:hAnsi="宋体"/>
                <w:color w:val="auto"/>
                <w:highlight w:val="none"/>
              </w:rPr>
            </w:pPr>
            <w:r>
              <w:rPr>
                <w:rFonts w:hint="eastAsia" w:ascii="宋体" w:hAnsi="宋体"/>
                <w:color w:val="auto"/>
                <w:highlight w:val="none"/>
              </w:rPr>
              <w:t xml:space="preserve">GB/T 26862-2011 电力系统同步相量测量装置检测规范 </w:t>
            </w:r>
            <w:r>
              <w:rPr>
                <w:rFonts w:ascii="宋体" w:hAnsi="宋体"/>
                <w:color w:val="auto"/>
                <w:highlight w:val="none"/>
              </w:rPr>
              <w:t>3.6</w:t>
            </w:r>
          </w:p>
          <w:p>
            <w:pPr>
              <w:rPr>
                <w:rFonts w:ascii="宋体" w:hAnsi="宋体"/>
                <w:color w:val="auto"/>
                <w:highlight w:val="none"/>
              </w:rPr>
            </w:pPr>
            <w:r>
              <w:rPr>
                <w:rFonts w:hint="eastAsia" w:ascii="宋体" w:hAnsi="宋体"/>
                <w:color w:val="auto"/>
                <w:highlight w:val="none"/>
              </w:rPr>
              <w:t>GB/T 26865.2-2011 电力系统实时动态监测系统 第2部分：数据传输协议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P</w:t>
            </w:r>
            <w:r>
              <w:rPr>
                <w:rFonts w:ascii="宋体" w:hAnsi="宋体"/>
                <w:color w:val="auto"/>
                <w:sz w:val="22"/>
                <w:szCs w:val="22"/>
                <w:highlight w:val="none"/>
              </w:rPr>
              <w:t>ot05</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1</w:t>
            </w:r>
            <w:r>
              <w:rPr>
                <w:rFonts w:ascii="Arial" w:hAnsi="Arial" w:cs="Arial"/>
                <w:color w:val="auto"/>
                <w:szCs w:val="21"/>
                <w:highlight w:val="none"/>
              </w:rPr>
              <w:t>02规约一致性检验</w:t>
            </w:r>
          </w:p>
        </w:tc>
        <w:tc>
          <w:tcPr>
            <w:tcW w:w="5245" w:type="dxa"/>
            <w:vAlign w:val="center"/>
          </w:tcPr>
          <w:p>
            <w:pPr>
              <w:rPr>
                <w:rFonts w:ascii="宋体" w:hAnsi="宋体"/>
                <w:color w:val="auto"/>
                <w:highlight w:val="none"/>
              </w:rPr>
            </w:pPr>
            <w:r>
              <w:rPr>
                <w:rFonts w:hint="eastAsia" w:ascii="宋体" w:hAnsi="宋体"/>
                <w:color w:val="auto"/>
                <w:highlight w:val="none"/>
              </w:rPr>
              <w:t>DL/T 719-2000远动设备及系统 第5部分 传输规约 第102篇 电力系统电能累计量传输配套标准</w:t>
            </w:r>
          </w:p>
        </w:tc>
      </w:tr>
    </w:tbl>
    <w:p>
      <w:pPr>
        <w:rPr>
          <w:color w:val="auto"/>
          <w:highlight w:val="none"/>
        </w:rPr>
      </w:pPr>
    </w:p>
    <w:p>
      <w:pPr>
        <w:pStyle w:val="3"/>
        <w:rPr>
          <w:color w:val="auto"/>
          <w:sz w:val="24"/>
          <w:szCs w:val="24"/>
          <w:highlight w:val="none"/>
        </w:rPr>
      </w:pPr>
      <w:bookmarkStart w:id="63" w:name="_Toc528273516"/>
      <w:bookmarkStart w:id="64" w:name="_Toc49258157"/>
      <w:r>
        <w:rPr>
          <w:rFonts w:hint="eastAsia"/>
          <w:color w:val="auto"/>
          <w:sz w:val="24"/>
          <w:szCs w:val="24"/>
          <w:highlight w:val="none"/>
        </w:rPr>
        <w:t>电源影响检验</w:t>
      </w:r>
      <w:bookmarkEnd w:id="63"/>
      <w:bookmarkEnd w:id="64"/>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Pow0</w:t>
            </w:r>
            <w:r>
              <w:rPr>
                <w:rFonts w:hint="eastAsia" w:ascii="宋体" w:hAnsi="宋体"/>
                <w:color w:val="auto"/>
                <w:sz w:val="22"/>
                <w:szCs w:val="22"/>
                <w:highlight w:val="none"/>
              </w:rPr>
              <w:t>1</w:t>
            </w:r>
          </w:p>
        </w:tc>
        <w:tc>
          <w:tcPr>
            <w:tcW w:w="2410" w:type="dxa"/>
            <w:vAlign w:val="center"/>
          </w:tcPr>
          <w:p>
            <w:pPr>
              <w:widowControl/>
              <w:rPr>
                <w:rFonts w:ascii="宋体" w:hAnsi="宋体"/>
                <w:color w:val="auto"/>
                <w:szCs w:val="21"/>
                <w:highlight w:val="none"/>
              </w:rPr>
            </w:pPr>
            <w:r>
              <w:rPr>
                <w:rFonts w:hint="eastAsia" w:ascii="Arial" w:hAnsi="Arial" w:cs="Arial"/>
                <w:color w:val="auto"/>
                <w:szCs w:val="21"/>
                <w:highlight w:val="none"/>
              </w:rPr>
              <w:t>*</w:t>
            </w:r>
            <w:r>
              <w:rPr>
                <w:rFonts w:hint="eastAsia" w:ascii="宋体" w:hAnsi="宋体"/>
                <w:color w:val="auto"/>
                <w:szCs w:val="21"/>
                <w:highlight w:val="none"/>
              </w:rPr>
              <w:t>电源影响</w:t>
            </w:r>
            <w:r>
              <w:rPr>
                <w:rFonts w:ascii="宋体" w:hAnsi="宋体"/>
                <w:color w:val="auto"/>
                <w:szCs w:val="21"/>
                <w:highlight w:val="none"/>
              </w:rPr>
              <w:t>检验</w:t>
            </w:r>
          </w:p>
        </w:tc>
        <w:tc>
          <w:tcPr>
            <w:tcW w:w="5245"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6</w:t>
            </w:r>
          </w:p>
        </w:tc>
      </w:tr>
    </w:tbl>
    <w:p>
      <w:pPr>
        <w:rPr>
          <w:color w:val="auto"/>
          <w:highlight w:val="none"/>
        </w:rPr>
      </w:pPr>
    </w:p>
    <w:p>
      <w:pPr>
        <w:pStyle w:val="3"/>
        <w:rPr>
          <w:color w:val="auto"/>
          <w:sz w:val="24"/>
          <w:szCs w:val="24"/>
          <w:highlight w:val="none"/>
        </w:rPr>
      </w:pPr>
      <w:bookmarkStart w:id="65" w:name="_Toc528273517"/>
      <w:bookmarkStart w:id="66" w:name="_Toc49258158"/>
      <w:r>
        <w:rPr>
          <w:rFonts w:hint="eastAsia"/>
          <w:color w:val="auto"/>
          <w:sz w:val="24"/>
          <w:szCs w:val="24"/>
          <w:highlight w:val="none"/>
        </w:rPr>
        <w:t>绝缘性能检验</w:t>
      </w:r>
      <w:bookmarkEnd w:id="65"/>
      <w:bookmarkEnd w:id="66"/>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Saf</w:t>
            </w:r>
            <w:r>
              <w:rPr>
                <w:rFonts w:hint="eastAsia" w:ascii="宋体" w:hAnsi="宋体"/>
                <w:color w:val="auto"/>
                <w:sz w:val="22"/>
                <w:szCs w:val="22"/>
                <w:highlight w:val="none"/>
              </w:rPr>
              <w:t>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*绝缘电阻</w:t>
            </w:r>
          </w:p>
        </w:tc>
        <w:tc>
          <w:tcPr>
            <w:tcW w:w="5245"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Saf</w:t>
            </w:r>
            <w:r>
              <w:rPr>
                <w:rFonts w:hint="eastAsia" w:ascii="宋体" w:hAnsi="宋体"/>
                <w:color w:val="auto"/>
                <w:sz w:val="22"/>
                <w:szCs w:val="22"/>
                <w:highlight w:val="none"/>
              </w:rPr>
              <w:t>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*介质强度</w:t>
            </w:r>
          </w:p>
        </w:tc>
        <w:tc>
          <w:tcPr>
            <w:tcW w:w="5245"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Saf</w:t>
            </w:r>
            <w:r>
              <w:rPr>
                <w:rFonts w:hint="eastAsia" w:ascii="宋体" w:hAnsi="宋体"/>
                <w:color w:val="auto"/>
                <w:sz w:val="22"/>
                <w:szCs w:val="22"/>
                <w:highlight w:val="none"/>
              </w:rPr>
              <w:t>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*冲击电压</w:t>
            </w:r>
          </w:p>
        </w:tc>
        <w:tc>
          <w:tcPr>
            <w:tcW w:w="5245"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第6篇：智能远动机功能规范4.10</w:t>
            </w:r>
          </w:p>
        </w:tc>
      </w:tr>
    </w:tbl>
    <w:p>
      <w:pPr>
        <w:rPr>
          <w:color w:val="auto"/>
          <w:highlight w:val="none"/>
        </w:rPr>
      </w:pPr>
    </w:p>
    <w:p>
      <w:pPr>
        <w:pStyle w:val="3"/>
        <w:rPr>
          <w:color w:val="auto"/>
          <w:sz w:val="24"/>
          <w:szCs w:val="24"/>
          <w:highlight w:val="none"/>
        </w:rPr>
      </w:pPr>
      <w:bookmarkStart w:id="67" w:name="_Toc484018947"/>
      <w:bookmarkStart w:id="68" w:name="_Toc49258159"/>
      <w:bookmarkStart w:id="69" w:name="_Toc528273518"/>
      <w:r>
        <w:rPr>
          <w:rFonts w:hint="eastAsia"/>
          <w:color w:val="auto"/>
          <w:sz w:val="24"/>
          <w:szCs w:val="24"/>
          <w:highlight w:val="none"/>
        </w:rPr>
        <w:t>气候</w:t>
      </w:r>
      <w:r>
        <w:rPr>
          <w:color w:val="auto"/>
          <w:sz w:val="24"/>
          <w:szCs w:val="24"/>
          <w:highlight w:val="none"/>
        </w:rPr>
        <w:t>环境</w:t>
      </w:r>
      <w:r>
        <w:rPr>
          <w:rFonts w:hint="eastAsia"/>
          <w:color w:val="auto"/>
          <w:sz w:val="24"/>
          <w:szCs w:val="24"/>
          <w:highlight w:val="none"/>
        </w:rPr>
        <w:t>检验</w:t>
      </w:r>
      <w:bookmarkEnd w:id="67"/>
      <w:bookmarkEnd w:id="68"/>
      <w:bookmarkEnd w:id="69"/>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3544"/>
        <w:gridCol w:w="411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3544"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4111"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Clm</w:t>
            </w:r>
            <w:r>
              <w:rPr>
                <w:rFonts w:hint="eastAsia" w:ascii="宋体" w:hAnsi="宋体"/>
                <w:color w:val="auto"/>
                <w:sz w:val="22"/>
                <w:szCs w:val="22"/>
                <w:highlight w:val="none"/>
              </w:rPr>
              <w:t>01</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高温运行检验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Clm</w:t>
            </w:r>
            <w:r>
              <w:rPr>
                <w:rFonts w:hint="eastAsia" w:ascii="宋体" w:hAnsi="宋体"/>
                <w:color w:val="auto"/>
                <w:sz w:val="22"/>
                <w:szCs w:val="22"/>
                <w:highlight w:val="none"/>
              </w:rPr>
              <w:t>02</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低温运行检验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Clm</w:t>
            </w:r>
            <w:r>
              <w:rPr>
                <w:rFonts w:hint="eastAsia" w:ascii="宋体" w:hAnsi="宋体"/>
                <w:color w:val="auto"/>
                <w:sz w:val="22"/>
                <w:szCs w:val="22"/>
                <w:highlight w:val="none"/>
              </w:rPr>
              <w:t>03</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kern w:val="0"/>
                <w:highlight w:val="none"/>
              </w:rPr>
              <w:t>恒定湿热检验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5</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Clm</w:t>
            </w:r>
            <w:r>
              <w:rPr>
                <w:rFonts w:hint="eastAsia" w:ascii="宋体" w:hAnsi="宋体"/>
                <w:color w:val="auto"/>
                <w:sz w:val="22"/>
                <w:szCs w:val="22"/>
                <w:highlight w:val="none"/>
              </w:rPr>
              <w:t>0</w:t>
            </w:r>
            <w:r>
              <w:rPr>
                <w:rFonts w:ascii="宋体" w:hAnsi="宋体"/>
                <w:color w:val="auto"/>
                <w:sz w:val="22"/>
                <w:szCs w:val="22"/>
                <w:highlight w:val="none"/>
              </w:rPr>
              <w:t>4</w:t>
            </w:r>
          </w:p>
        </w:tc>
        <w:tc>
          <w:tcPr>
            <w:tcW w:w="3544" w:type="dxa"/>
            <w:vAlign w:val="center"/>
          </w:tcPr>
          <w:p>
            <w:pPr>
              <w:rPr>
                <w:rFonts w:ascii="Arial" w:hAnsi="Arial" w:cs="Arial"/>
                <w:color w:val="auto"/>
                <w:szCs w:val="21"/>
                <w:highlight w:val="none"/>
              </w:rPr>
            </w:pPr>
            <w:r>
              <w:rPr>
                <w:rFonts w:hint="eastAsia" w:ascii="Arial" w:hAnsi="Arial" w:cs="Arial"/>
                <w:color w:val="auto"/>
                <w:szCs w:val="21"/>
                <w:highlight w:val="none"/>
              </w:rPr>
              <w:t>*环境温度极端范围极限值检验</w:t>
            </w:r>
          </w:p>
        </w:tc>
        <w:tc>
          <w:tcPr>
            <w:tcW w:w="4111" w:type="dxa"/>
            <w:vAlign w:val="center"/>
          </w:tcPr>
          <w:p>
            <w:pPr>
              <w:rPr>
                <w:rFonts w:ascii="宋体" w:hAnsi="宋体"/>
                <w:color w:val="auto"/>
                <w:highlight w:val="none"/>
              </w:rPr>
            </w:pPr>
            <w:r>
              <w:rPr>
                <w:rFonts w:hint="eastAsia" w:ascii="宋体" w:hAnsi="宋体"/>
                <w:color w:val="auto"/>
                <w:highlight w:val="none"/>
              </w:rPr>
              <w:t xml:space="preserve">GB/T 13729-2019 </w:t>
            </w:r>
            <w:r>
              <w:rPr>
                <w:rFonts w:ascii="宋体" w:hAnsi="宋体"/>
                <w:color w:val="auto"/>
                <w:highlight w:val="none"/>
              </w:rPr>
              <w:t>远动终端设备</w:t>
            </w:r>
            <w:r>
              <w:rPr>
                <w:rFonts w:hint="eastAsia" w:ascii="宋体" w:hAnsi="宋体"/>
                <w:color w:val="auto"/>
                <w:highlight w:val="none"/>
              </w:rPr>
              <w:t xml:space="preserve"> 第5.1.3节</w:t>
            </w:r>
          </w:p>
        </w:tc>
      </w:tr>
    </w:tbl>
    <w:p>
      <w:pPr>
        <w:rPr>
          <w:color w:val="auto"/>
          <w:highlight w:val="none"/>
        </w:rPr>
      </w:pPr>
    </w:p>
    <w:p>
      <w:pPr>
        <w:pStyle w:val="3"/>
        <w:rPr>
          <w:color w:val="auto"/>
          <w:sz w:val="24"/>
          <w:szCs w:val="24"/>
          <w:highlight w:val="none"/>
        </w:rPr>
      </w:pPr>
      <w:bookmarkStart w:id="70" w:name="_Toc484018951"/>
      <w:bookmarkStart w:id="71" w:name="_Toc528273519"/>
      <w:bookmarkStart w:id="72" w:name="_Toc49258160"/>
      <w:r>
        <w:rPr>
          <w:rFonts w:hint="eastAsia"/>
          <w:color w:val="auto"/>
          <w:sz w:val="24"/>
          <w:szCs w:val="24"/>
          <w:highlight w:val="none"/>
        </w:rPr>
        <w:t>机械性能</w:t>
      </w:r>
      <w:r>
        <w:rPr>
          <w:color w:val="auto"/>
          <w:sz w:val="24"/>
          <w:szCs w:val="24"/>
          <w:highlight w:val="none"/>
        </w:rPr>
        <w:t>试验</w:t>
      </w:r>
      <w:bookmarkEnd w:id="70"/>
      <w:bookmarkEnd w:id="71"/>
      <w:bookmarkEnd w:id="72"/>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3544"/>
        <w:gridCol w:w="411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3544"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4111"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Mec</w:t>
            </w:r>
            <w:r>
              <w:rPr>
                <w:rFonts w:hint="eastAsia" w:ascii="宋体" w:hAnsi="宋体"/>
                <w:color w:val="auto"/>
                <w:sz w:val="22"/>
                <w:szCs w:val="22"/>
                <w:highlight w:val="none"/>
              </w:rPr>
              <w:t>01</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振动响应试验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Mec</w:t>
            </w:r>
            <w:r>
              <w:rPr>
                <w:rFonts w:hint="eastAsia" w:ascii="宋体" w:hAnsi="宋体"/>
                <w:color w:val="auto"/>
                <w:sz w:val="22"/>
                <w:szCs w:val="22"/>
                <w:highlight w:val="none"/>
              </w:rPr>
              <w:t>0</w:t>
            </w:r>
            <w:r>
              <w:rPr>
                <w:rFonts w:ascii="宋体" w:hAnsi="宋体"/>
                <w:color w:val="auto"/>
                <w:sz w:val="22"/>
                <w:szCs w:val="22"/>
                <w:highlight w:val="none"/>
              </w:rPr>
              <w:t>2</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振动耐久试验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Mec</w:t>
            </w:r>
            <w:r>
              <w:rPr>
                <w:rFonts w:hint="eastAsia" w:ascii="宋体" w:hAnsi="宋体"/>
                <w:color w:val="auto"/>
                <w:sz w:val="22"/>
                <w:szCs w:val="22"/>
                <w:highlight w:val="none"/>
              </w:rPr>
              <w:t>03</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冲击</w:t>
            </w:r>
            <w:r>
              <w:rPr>
                <w:rFonts w:ascii="宋体" w:hAnsi="宋体"/>
                <w:color w:val="auto"/>
                <w:highlight w:val="none"/>
              </w:rPr>
              <w:t>响应</w:t>
            </w:r>
            <w:r>
              <w:rPr>
                <w:rFonts w:hint="eastAsia" w:ascii="宋体" w:hAnsi="宋体"/>
                <w:color w:val="auto"/>
                <w:highlight w:val="none"/>
              </w:rPr>
              <w:t>试验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Mec</w:t>
            </w:r>
            <w:r>
              <w:rPr>
                <w:rFonts w:hint="eastAsia" w:ascii="宋体" w:hAnsi="宋体"/>
                <w:color w:val="auto"/>
                <w:sz w:val="22"/>
                <w:szCs w:val="22"/>
                <w:highlight w:val="none"/>
              </w:rPr>
              <w:t>04</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冲击耐久试验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Mec</w:t>
            </w:r>
            <w:r>
              <w:rPr>
                <w:rFonts w:hint="eastAsia" w:ascii="宋体" w:hAnsi="宋体"/>
                <w:color w:val="auto"/>
                <w:sz w:val="22"/>
                <w:szCs w:val="22"/>
                <w:highlight w:val="none"/>
              </w:rPr>
              <w:t>05</w:t>
            </w:r>
          </w:p>
        </w:tc>
        <w:tc>
          <w:tcPr>
            <w:tcW w:w="3544" w:type="dxa"/>
            <w:vAlign w:val="center"/>
          </w:tcPr>
          <w:p>
            <w:pPr>
              <w:rPr>
                <w:rFonts w:ascii="宋体" w:hAnsi="宋体"/>
                <w:color w:val="auto"/>
                <w:highlight w:val="none"/>
              </w:rPr>
            </w:pPr>
            <w:r>
              <w:rPr>
                <w:rFonts w:hint="eastAsia" w:ascii="Arial" w:hAnsi="Arial" w:cs="Arial"/>
                <w:color w:val="auto"/>
                <w:szCs w:val="21"/>
                <w:highlight w:val="none"/>
              </w:rPr>
              <w:t>*</w:t>
            </w:r>
            <w:r>
              <w:rPr>
                <w:rFonts w:hint="eastAsia" w:ascii="宋体" w:hAnsi="宋体"/>
                <w:color w:val="auto"/>
                <w:highlight w:val="none"/>
              </w:rPr>
              <w:t>碰撞试验</w:t>
            </w:r>
          </w:p>
        </w:tc>
        <w:tc>
          <w:tcPr>
            <w:tcW w:w="4111" w:type="dxa"/>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bl>
    <w:p>
      <w:pPr>
        <w:rPr>
          <w:color w:val="auto"/>
          <w:highlight w:val="none"/>
        </w:rPr>
      </w:pPr>
    </w:p>
    <w:p>
      <w:pPr>
        <w:pStyle w:val="3"/>
        <w:rPr>
          <w:color w:val="auto"/>
          <w:sz w:val="24"/>
          <w:szCs w:val="24"/>
          <w:highlight w:val="none"/>
        </w:rPr>
      </w:pPr>
      <w:bookmarkStart w:id="73" w:name="_Toc528273520"/>
      <w:bookmarkStart w:id="74" w:name="_Toc49258161"/>
      <w:r>
        <w:rPr>
          <w:rFonts w:hint="eastAsia"/>
          <w:color w:val="auto"/>
          <w:sz w:val="24"/>
          <w:szCs w:val="24"/>
          <w:highlight w:val="none"/>
        </w:rPr>
        <w:t>电磁兼容检验</w:t>
      </w:r>
      <w:bookmarkEnd w:id="73"/>
      <w:bookmarkEnd w:id="74"/>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*静电放电抗扰度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*射频电磁场辐射抗扰度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*电快速瞬变脉冲群抗扰度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*浪涌（冲击）抗扰度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05</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*射频场感应的传导骚扰抗扰度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06</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*工频磁场抗扰度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07</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w:t>
            </w:r>
            <w:r>
              <w:rPr>
                <w:rFonts w:ascii="Arial" w:hAnsi="Arial" w:cs="Arial"/>
                <w:color w:val="auto"/>
                <w:szCs w:val="21"/>
                <w:highlight w:val="none"/>
              </w:rPr>
              <w:t>脉冲磁场抗扰度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w:t>
            </w:r>
            <w:r>
              <w:rPr>
                <w:rFonts w:ascii="宋体" w:hAnsi="宋体"/>
                <w:color w:val="auto"/>
                <w:sz w:val="22"/>
                <w:szCs w:val="22"/>
                <w:highlight w:val="none"/>
              </w:rPr>
              <w:t>8</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w:t>
            </w:r>
            <w:r>
              <w:rPr>
                <w:rFonts w:ascii="Arial" w:hAnsi="Arial" w:cs="Arial"/>
                <w:color w:val="auto"/>
                <w:szCs w:val="21"/>
                <w:highlight w:val="none"/>
              </w:rPr>
              <w:t>阻尼</w:t>
            </w:r>
            <w:r>
              <w:rPr>
                <w:rFonts w:hint="eastAsia" w:ascii="Arial" w:hAnsi="Arial" w:cs="Arial"/>
                <w:color w:val="auto"/>
                <w:szCs w:val="21"/>
                <w:highlight w:val="none"/>
              </w:rPr>
              <w:t>振荡</w:t>
            </w:r>
            <w:r>
              <w:rPr>
                <w:rFonts w:ascii="Arial" w:hAnsi="Arial" w:cs="Arial"/>
                <w:color w:val="auto"/>
                <w:szCs w:val="21"/>
                <w:highlight w:val="none"/>
              </w:rPr>
              <w:t>磁场抗扰度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w:t>
            </w:r>
            <w:r>
              <w:rPr>
                <w:rFonts w:ascii="宋体" w:hAnsi="宋体"/>
                <w:color w:val="auto"/>
                <w:sz w:val="22"/>
                <w:szCs w:val="22"/>
                <w:highlight w:val="none"/>
              </w:rPr>
              <w:t>9</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*交流电源短时中断抗扰度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Emc10</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*直流电源短时中断抗扰度</w:t>
            </w:r>
          </w:p>
        </w:tc>
        <w:tc>
          <w:tcPr>
            <w:tcW w:w="5245" w:type="dxa"/>
            <w:vAlign w:val="center"/>
          </w:tcPr>
          <w:p>
            <w:pPr>
              <w:rPr>
                <w:rFonts w:ascii="宋体" w:hAnsi="宋体"/>
                <w:color w:val="auto"/>
                <w:highlight w:val="none"/>
              </w:rPr>
            </w:pPr>
            <w:r>
              <w:rPr>
                <w:rFonts w:hint="eastAsia" w:ascii="宋体" w:hAnsi="宋体"/>
                <w:color w:val="auto"/>
                <w:highlight w:val="none"/>
              </w:rPr>
              <w:t>GB/T17626.29电磁兼容 试验和测量技术 直流电源输入端口电压暂降、短时中断和电压变化的抗扰度试验</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Emc1</w:t>
            </w:r>
            <w:r>
              <w:rPr>
                <w:rFonts w:hint="eastAsia" w:ascii="宋体" w:hAnsi="宋体"/>
                <w:color w:val="auto"/>
                <w:sz w:val="22"/>
                <w:szCs w:val="22"/>
                <w:highlight w:val="none"/>
              </w:rPr>
              <w:t>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*阻尼振荡波抗扰度</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13</w:t>
            </w:r>
          </w:p>
        </w:tc>
      </w:tr>
    </w:tbl>
    <w:p>
      <w:pPr>
        <w:rPr>
          <w:color w:val="auto"/>
          <w:highlight w:val="none"/>
        </w:rPr>
      </w:pPr>
    </w:p>
    <w:p>
      <w:pPr>
        <w:pStyle w:val="3"/>
        <w:rPr>
          <w:color w:val="auto"/>
          <w:sz w:val="24"/>
          <w:szCs w:val="24"/>
          <w:highlight w:val="none"/>
        </w:rPr>
      </w:pPr>
      <w:bookmarkStart w:id="75" w:name="_Toc49258162"/>
      <w:r>
        <w:rPr>
          <w:color w:val="auto"/>
          <w:sz w:val="24"/>
          <w:szCs w:val="24"/>
          <w:highlight w:val="none"/>
        </w:rPr>
        <w:t>长期运行稳定性试验</w:t>
      </w:r>
      <w:bookmarkEnd w:id="75"/>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Sta0</w:t>
            </w:r>
            <w:r>
              <w:rPr>
                <w:rFonts w:ascii="宋体" w:hAnsi="宋体"/>
                <w:color w:val="auto"/>
                <w:sz w:val="22"/>
                <w:szCs w:val="22"/>
                <w:highlight w:val="none"/>
              </w:rPr>
              <w:t>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*数据采集功能检验</w:t>
            </w:r>
          </w:p>
        </w:tc>
        <w:tc>
          <w:tcPr>
            <w:tcW w:w="5245" w:type="dxa"/>
            <w:vAlign w:val="center"/>
          </w:tcPr>
          <w:p>
            <w:pPr>
              <w:rPr>
                <w:rFonts w:ascii="宋体" w:hAnsi="宋体"/>
                <w:color w:val="auto"/>
                <w:highlight w:val="none"/>
              </w:rPr>
            </w:pPr>
            <w:r>
              <w:rPr>
                <w:rFonts w:hint="eastAsia" w:ascii="宋体" w:hAnsi="宋体"/>
                <w:color w:val="auto"/>
                <w:highlight w:val="none"/>
              </w:rPr>
              <w:t>Q/CSG 11109001-2013 厂站电能量采集终端技术规范4.8.2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Sta0</w:t>
            </w:r>
            <w:r>
              <w:rPr>
                <w:rFonts w:ascii="宋体" w:hAnsi="宋体"/>
                <w:color w:val="auto"/>
                <w:sz w:val="22"/>
                <w:szCs w:val="22"/>
                <w:highlight w:val="none"/>
              </w:rPr>
              <w:t>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*数据传输、处理及存储功能检验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智能远动网关技术规范7.1.4</w:t>
            </w:r>
          </w:p>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Sta0</w:t>
            </w:r>
            <w:r>
              <w:rPr>
                <w:rFonts w:ascii="宋体" w:hAnsi="宋体"/>
                <w:color w:val="auto"/>
                <w:sz w:val="22"/>
                <w:szCs w:val="22"/>
                <w:highlight w:val="none"/>
              </w:rPr>
              <w:t>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w:t>
            </w:r>
            <w:r>
              <w:rPr>
                <w:rFonts w:hint="eastAsia" w:ascii="宋体" w:hAnsi="宋体"/>
                <w:color w:val="auto"/>
                <w:highlight w:val="none"/>
              </w:rPr>
              <w:t>数据</w:t>
            </w:r>
            <w:r>
              <w:rPr>
                <w:rFonts w:ascii="宋体" w:hAnsi="宋体"/>
                <w:color w:val="auto"/>
                <w:highlight w:val="none"/>
              </w:rPr>
              <w:t>汇</w:t>
            </w:r>
            <w:r>
              <w:rPr>
                <w:rFonts w:hint="eastAsia" w:ascii="宋体" w:hAnsi="宋体"/>
                <w:color w:val="auto"/>
                <w:highlight w:val="none"/>
              </w:rPr>
              <w:t>集功能检验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 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Sta0</w:t>
            </w:r>
            <w:r>
              <w:rPr>
                <w:rFonts w:ascii="宋体" w:hAnsi="宋体"/>
                <w:color w:val="auto"/>
                <w:sz w:val="22"/>
                <w:szCs w:val="22"/>
                <w:highlight w:val="none"/>
              </w:rPr>
              <w:t>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*实时通信功能检验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Sta0</w:t>
            </w:r>
            <w:r>
              <w:rPr>
                <w:rFonts w:ascii="宋体" w:hAnsi="宋体"/>
                <w:color w:val="auto"/>
                <w:sz w:val="22"/>
                <w:szCs w:val="22"/>
                <w:highlight w:val="none"/>
              </w:rPr>
              <w:t>5</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w:t>
            </w:r>
            <w:r>
              <w:rPr>
                <w:rFonts w:hint="eastAsia" w:ascii="宋体" w:hAnsi="宋体"/>
                <w:color w:val="auto"/>
                <w:highlight w:val="none"/>
              </w:rPr>
              <w:t>画面数据刷新功能检验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智能远动网关技术规范7.2</w:t>
            </w:r>
          </w:p>
          <w:p>
            <w:pPr>
              <w:rPr>
                <w:rFonts w:ascii="宋体" w:hAnsi="宋体"/>
                <w:color w:val="auto"/>
                <w:highlight w:val="none"/>
              </w:rPr>
            </w:pPr>
            <w:r>
              <w:rPr>
                <w:rFonts w:hint="eastAsia" w:ascii="宋体" w:hAnsi="宋体"/>
                <w:color w:val="auto"/>
                <w:highlight w:val="none"/>
              </w:rPr>
              <w:t>Q</w:t>
            </w:r>
            <w:r>
              <w:rPr>
                <w:rFonts w:ascii="宋体" w:hAnsi="宋体"/>
                <w:color w:val="auto"/>
                <w:highlight w:val="none"/>
              </w:rPr>
              <w:t>/</w:t>
            </w:r>
            <w:r>
              <w:rPr>
                <w:rFonts w:hint="eastAsia" w:ascii="宋体" w:hAnsi="宋体"/>
                <w:color w:val="auto"/>
                <w:highlight w:val="none"/>
              </w:rPr>
              <w:t>CSG 1204005.310-2014南方电网一体化电网运行智能系统技术规范 第3部分：数据 第10篇：通用画面调用技术规范 6.3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Sta0</w:t>
            </w:r>
            <w:r>
              <w:rPr>
                <w:rFonts w:ascii="宋体" w:hAnsi="宋体"/>
                <w:color w:val="auto"/>
                <w:sz w:val="22"/>
                <w:szCs w:val="22"/>
                <w:highlight w:val="none"/>
              </w:rPr>
              <w:t>6</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w:t>
            </w:r>
            <w:r>
              <w:rPr>
                <w:rFonts w:hint="eastAsia"/>
                <w:color w:val="auto"/>
                <w:highlight w:val="none"/>
              </w:rPr>
              <w:t>时间同步功能检验</w:t>
            </w:r>
          </w:p>
        </w:tc>
        <w:tc>
          <w:tcPr>
            <w:tcW w:w="5245" w:type="dxa"/>
            <w:vAlign w:val="center"/>
          </w:tcPr>
          <w:p>
            <w:pPr>
              <w:rPr>
                <w:rFonts w:ascii="宋体" w:hAnsi="宋体"/>
                <w:color w:val="auto"/>
                <w:highlight w:val="none"/>
              </w:rPr>
            </w:pPr>
            <w:r>
              <w:rPr>
                <w:rFonts w:hint="eastAsia" w:ascii="宋体" w:hAnsi="宋体"/>
                <w:color w:val="auto"/>
                <w:highlight w:val="none"/>
              </w:rPr>
              <w:t>GB/T 31994-2015 智能远动网关技术规范7.</w:t>
            </w:r>
            <w:r>
              <w:rPr>
                <w:rFonts w:ascii="宋体" w:hAnsi="宋体"/>
                <w:color w:val="auto"/>
                <w:highlight w:val="none"/>
              </w:rPr>
              <w:t>6.1</w:t>
            </w:r>
          </w:p>
          <w:p>
            <w:pPr>
              <w:rPr>
                <w:rFonts w:ascii="宋体" w:hAnsi="宋体"/>
                <w:color w:val="auto"/>
                <w:highlight w:val="none"/>
              </w:rPr>
            </w:pPr>
            <w:r>
              <w:rPr>
                <w:rFonts w:ascii="宋体" w:hAnsi="宋体"/>
                <w:color w:val="auto"/>
                <w:highlight w:val="none"/>
              </w:rPr>
              <w:t xml:space="preserve">Q/CSG 1204005.66-2014 </w:t>
            </w:r>
            <w:r>
              <w:rPr>
                <w:rFonts w:hint="eastAsia" w:ascii="宋体" w:hAnsi="宋体"/>
                <w:color w:val="auto"/>
                <w:highlight w:val="none"/>
              </w:rPr>
              <w:t>南方电网一体化电网运行智能系统技术规范 第6部分：厂站应用 第6篇：智能远动机功能规范</w:t>
            </w:r>
            <w:r>
              <w:rPr>
                <w:rFonts w:ascii="宋体" w:hAnsi="宋体"/>
                <w:color w:val="auto"/>
                <w:highlight w:val="none"/>
              </w:rPr>
              <w:t>4.6.1</w:t>
            </w:r>
          </w:p>
        </w:tc>
      </w:tr>
    </w:tbl>
    <w:p>
      <w:pPr>
        <w:pStyle w:val="4"/>
        <w:rPr>
          <w:color w:val="auto"/>
          <w:highlight w:val="none"/>
        </w:rPr>
      </w:pPr>
    </w:p>
    <w:p>
      <w:pPr>
        <w:pStyle w:val="3"/>
        <w:rPr>
          <w:color w:val="auto"/>
          <w:sz w:val="24"/>
          <w:szCs w:val="24"/>
          <w:highlight w:val="none"/>
        </w:rPr>
      </w:pPr>
      <w:bookmarkStart w:id="76" w:name="_Toc49258163"/>
      <w:r>
        <w:rPr>
          <w:rFonts w:hint="eastAsia"/>
          <w:color w:val="auto"/>
          <w:sz w:val="24"/>
          <w:szCs w:val="24"/>
          <w:highlight w:val="none"/>
        </w:rPr>
        <w:t>可靠性试验（考察项）</w:t>
      </w:r>
      <w:bookmarkEnd w:id="76"/>
    </w:p>
    <w:tbl>
      <w:tblPr>
        <w:tblStyle w:val="48"/>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410"/>
        <w:gridCol w:w="524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blHeader/>
        </w:trPr>
        <w:tc>
          <w:tcPr>
            <w:tcW w:w="1242"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案例编号</w:t>
            </w:r>
          </w:p>
        </w:tc>
        <w:tc>
          <w:tcPr>
            <w:tcW w:w="2410"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测试项目</w:t>
            </w:r>
          </w:p>
        </w:tc>
        <w:tc>
          <w:tcPr>
            <w:tcW w:w="5245" w:type="dxa"/>
            <w:tcBorders>
              <w:top w:val="single" w:color="auto" w:sz="12" w:space="0"/>
              <w:bottom w:val="single" w:color="auto" w:sz="12" w:space="0"/>
            </w:tcBorders>
            <w:vAlign w:val="center"/>
          </w:tcPr>
          <w:p>
            <w:pPr>
              <w:jc w:val="center"/>
              <w:rPr>
                <w:rFonts w:ascii="宋体" w:hAnsi="宋体"/>
                <w:b/>
                <w:color w:val="auto"/>
                <w:highlight w:val="none"/>
              </w:rPr>
            </w:pPr>
            <w:r>
              <w:rPr>
                <w:rFonts w:hint="eastAsia" w:ascii="宋体" w:hAnsi="宋体"/>
                <w:b/>
                <w:color w:val="auto"/>
                <w:highlight w:val="none"/>
              </w:rPr>
              <w:t>参考依据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Re</w:t>
            </w:r>
            <w:r>
              <w:rPr>
                <w:rFonts w:ascii="宋体" w:hAnsi="宋体"/>
                <w:color w:val="auto"/>
                <w:sz w:val="22"/>
                <w:szCs w:val="22"/>
                <w:highlight w:val="none"/>
              </w:rPr>
              <w:t>l</w:t>
            </w:r>
            <w:r>
              <w:rPr>
                <w:rFonts w:hint="eastAsia" w:ascii="宋体" w:hAnsi="宋体"/>
                <w:color w:val="auto"/>
                <w:sz w:val="22"/>
                <w:szCs w:val="22"/>
                <w:highlight w:val="none"/>
              </w:rPr>
              <w:t>01</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稳定现场MTBF评估</w:t>
            </w:r>
          </w:p>
        </w:tc>
        <w:tc>
          <w:tcPr>
            <w:tcW w:w="5245" w:type="dxa"/>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w:t>
            </w:r>
          </w:p>
          <w:p>
            <w:pPr>
              <w:rPr>
                <w:rFonts w:ascii="宋体" w:hAnsi="宋体"/>
                <w:color w:val="auto"/>
                <w:highlight w:val="none"/>
              </w:rPr>
            </w:pPr>
            <w:r>
              <w:rPr>
                <w:rFonts w:hint="eastAsia" w:ascii="宋体" w:hAnsi="宋体"/>
                <w:color w:val="auto"/>
                <w:highlight w:val="none"/>
              </w:rPr>
              <w:t>GB∕T 31994-2015 智能远动网关技术规范</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Re</w:t>
            </w:r>
            <w:r>
              <w:rPr>
                <w:rFonts w:ascii="宋体" w:hAnsi="宋体"/>
                <w:color w:val="auto"/>
                <w:sz w:val="22"/>
                <w:szCs w:val="22"/>
                <w:highlight w:val="none"/>
              </w:rPr>
              <w:t>l</w:t>
            </w:r>
            <w:r>
              <w:rPr>
                <w:rFonts w:hint="eastAsia" w:ascii="宋体" w:hAnsi="宋体"/>
                <w:color w:val="auto"/>
                <w:sz w:val="22"/>
                <w:szCs w:val="22"/>
                <w:highlight w:val="none"/>
              </w:rPr>
              <w:t>02</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低温步进应力试验</w:t>
            </w:r>
          </w:p>
        </w:tc>
        <w:tc>
          <w:tcPr>
            <w:tcW w:w="5245" w:type="dxa"/>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Re</w:t>
            </w:r>
            <w:r>
              <w:rPr>
                <w:rFonts w:ascii="宋体" w:hAnsi="宋体"/>
                <w:color w:val="auto"/>
                <w:sz w:val="22"/>
                <w:szCs w:val="22"/>
                <w:highlight w:val="none"/>
              </w:rPr>
              <w:t>l</w:t>
            </w:r>
            <w:r>
              <w:rPr>
                <w:rFonts w:hint="eastAsia" w:ascii="宋体" w:hAnsi="宋体"/>
                <w:color w:val="auto"/>
                <w:sz w:val="22"/>
                <w:szCs w:val="22"/>
                <w:highlight w:val="none"/>
              </w:rPr>
              <w:t>03</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高温步进应力试验</w:t>
            </w:r>
          </w:p>
        </w:tc>
        <w:tc>
          <w:tcPr>
            <w:tcW w:w="5245" w:type="dxa"/>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Re</w:t>
            </w:r>
            <w:r>
              <w:rPr>
                <w:rFonts w:ascii="宋体" w:hAnsi="宋体"/>
                <w:color w:val="auto"/>
                <w:sz w:val="22"/>
                <w:szCs w:val="22"/>
                <w:highlight w:val="none"/>
              </w:rPr>
              <w:t>l</w:t>
            </w:r>
            <w:r>
              <w:rPr>
                <w:rFonts w:hint="eastAsia" w:ascii="宋体" w:hAnsi="宋体"/>
                <w:color w:val="auto"/>
                <w:sz w:val="22"/>
                <w:szCs w:val="22"/>
                <w:highlight w:val="none"/>
              </w:rPr>
              <w:t>04</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快速温变循环试验</w:t>
            </w:r>
          </w:p>
        </w:tc>
        <w:tc>
          <w:tcPr>
            <w:tcW w:w="5245" w:type="dxa"/>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Re</w:t>
            </w:r>
            <w:r>
              <w:rPr>
                <w:rFonts w:ascii="宋体" w:hAnsi="宋体"/>
                <w:color w:val="auto"/>
                <w:sz w:val="22"/>
                <w:szCs w:val="22"/>
                <w:highlight w:val="none"/>
              </w:rPr>
              <w:t>l</w:t>
            </w:r>
            <w:r>
              <w:rPr>
                <w:rFonts w:hint="eastAsia" w:ascii="宋体" w:hAnsi="宋体"/>
                <w:color w:val="auto"/>
                <w:sz w:val="22"/>
                <w:szCs w:val="22"/>
                <w:highlight w:val="none"/>
              </w:rPr>
              <w:t>05</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振动步进应力试验</w:t>
            </w:r>
          </w:p>
        </w:tc>
        <w:tc>
          <w:tcPr>
            <w:tcW w:w="5245" w:type="dxa"/>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1242" w:type="dxa"/>
            <w:vAlign w:val="center"/>
          </w:tcPr>
          <w:p>
            <w:pPr>
              <w:widowControl/>
              <w:jc w:val="center"/>
              <w:rPr>
                <w:rFonts w:ascii="宋体" w:hAnsi="宋体"/>
                <w:color w:val="auto"/>
                <w:sz w:val="22"/>
                <w:szCs w:val="22"/>
                <w:highlight w:val="none"/>
              </w:rPr>
            </w:pPr>
            <w:r>
              <w:rPr>
                <w:rFonts w:hint="eastAsia" w:ascii="宋体" w:hAnsi="宋体"/>
                <w:color w:val="auto"/>
                <w:sz w:val="22"/>
                <w:szCs w:val="22"/>
                <w:highlight w:val="none"/>
              </w:rPr>
              <w:t>Re</w:t>
            </w:r>
            <w:r>
              <w:rPr>
                <w:rFonts w:ascii="宋体" w:hAnsi="宋体"/>
                <w:color w:val="auto"/>
                <w:sz w:val="22"/>
                <w:szCs w:val="22"/>
                <w:highlight w:val="none"/>
              </w:rPr>
              <w:t>l</w:t>
            </w:r>
            <w:r>
              <w:rPr>
                <w:rFonts w:hint="eastAsia" w:ascii="宋体" w:hAnsi="宋体"/>
                <w:color w:val="auto"/>
                <w:sz w:val="22"/>
                <w:szCs w:val="22"/>
                <w:highlight w:val="none"/>
              </w:rPr>
              <w:t>0</w:t>
            </w:r>
            <w:r>
              <w:rPr>
                <w:rFonts w:ascii="宋体" w:hAnsi="宋体"/>
                <w:color w:val="auto"/>
                <w:sz w:val="22"/>
                <w:szCs w:val="22"/>
                <w:highlight w:val="none"/>
              </w:rPr>
              <w:t>6</w:t>
            </w:r>
          </w:p>
        </w:tc>
        <w:tc>
          <w:tcPr>
            <w:tcW w:w="2410" w:type="dxa"/>
            <w:vAlign w:val="center"/>
          </w:tcPr>
          <w:p>
            <w:pPr>
              <w:rPr>
                <w:rFonts w:ascii="Arial" w:hAnsi="Arial" w:cs="Arial"/>
                <w:color w:val="auto"/>
                <w:szCs w:val="21"/>
                <w:highlight w:val="none"/>
              </w:rPr>
            </w:pPr>
            <w:r>
              <w:rPr>
                <w:rFonts w:hint="eastAsia" w:ascii="Arial" w:hAnsi="Arial" w:cs="Arial"/>
                <w:color w:val="auto"/>
                <w:szCs w:val="21"/>
                <w:highlight w:val="none"/>
              </w:rPr>
              <w:t>综合应力循环试验</w:t>
            </w:r>
          </w:p>
        </w:tc>
        <w:tc>
          <w:tcPr>
            <w:tcW w:w="5245" w:type="dxa"/>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w:t>
            </w:r>
          </w:p>
        </w:tc>
      </w:tr>
    </w:tbl>
    <w:p>
      <w:pPr>
        <w:rPr>
          <w:color w:val="auto"/>
          <w:highlight w:val="none"/>
        </w:rPr>
      </w:pPr>
    </w:p>
    <w:p>
      <w:pPr>
        <w:pStyle w:val="2"/>
        <w:rPr>
          <w:color w:val="auto"/>
          <w:sz w:val="24"/>
          <w:szCs w:val="24"/>
          <w:highlight w:val="none"/>
        </w:rPr>
      </w:pPr>
      <w:bookmarkStart w:id="77" w:name="_Toc49258164"/>
      <w:r>
        <w:rPr>
          <w:rFonts w:hint="eastAsia"/>
          <w:color w:val="auto"/>
          <w:sz w:val="24"/>
          <w:szCs w:val="24"/>
          <w:highlight w:val="none"/>
        </w:rPr>
        <w:t>检验项目分类</w:t>
      </w:r>
      <w:bookmarkEnd w:id="77"/>
    </w:p>
    <w:tbl>
      <w:tblPr>
        <w:tblStyle w:val="48"/>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1159"/>
        <w:gridCol w:w="1660"/>
        <w:gridCol w:w="1247"/>
        <w:gridCol w:w="1423"/>
        <w:gridCol w:w="1481"/>
        <w:gridCol w:w="1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887" w:type="dxa"/>
            <w:vAlign w:val="center"/>
          </w:tcPr>
          <w:p>
            <w:pPr>
              <w:jc w:val="center"/>
              <w:rPr>
                <w:rFonts w:ascii="宋体" w:hAnsi="宋体"/>
                <w:color w:val="auto"/>
                <w:szCs w:val="21"/>
                <w:highlight w:val="none"/>
              </w:rPr>
            </w:pPr>
            <w:r>
              <w:rPr>
                <w:rFonts w:ascii="宋体" w:hAnsi="宋体"/>
                <w:color w:val="auto"/>
                <w:szCs w:val="21"/>
                <w:highlight w:val="none"/>
              </w:rPr>
              <w:t>序号</w:t>
            </w:r>
          </w:p>
        </w:tc>
        <w:tc>
          <w:tcPr>
            <w:tcW w:w="2819" w:type="dxa"/>
            <w:gridSpan w:val="2"/>
            <w:vAlign w:val="center"/>
          </w:tcPr>
          <w:p>
            <w:pPr>
              <w:jc w:val="center"/>
              <w:rPr>
                <w:rFonts w:ascii="宋体" w:hAnsi="宋体"/>
                <w:color w:val="auto"/>
                <w:szCs w:val="21"/>
                <w:highlight w:val="none"/>
              </w:rPr>
            </w:pPr>
            <w:r>
              <w:rPr>
                <w:rFonts w:ascii="宋体" w:hAnsi="宋体"/>
                <w:color w:val="auto"/>
                <w:szCs w:val="21"/>
                <w:highlight w:val="none"/>
              </w:rPr>
              <w:t>测试项目</w:t>
            </w:r>
          </w:p>
        </w:tc>
        <w:tc>
          <w:tcPr>
            <w:tcW w:w="1247" w:type="dxa"/>
            <w:vAlign w:val="center"/>
          </w:tcPr>
          <w:p>
            <w:pPr>
              <w:jc w:val="center"/>
              <w:rPr>
                <w:rFonts w:ascii="宋体" w:hAnsi="宋体"/>
                <w:color w:val="auto"/>
                <w:szCs w:val="21"/>
                <w:highlight w:val="none"/>
                <w:lang w:val="zh-CN"/>
              </w:rPr>
            </w:pPr>
            <w:r>
              <w:rPr>
                <w:rFonts w:hint="eastAsia" w:ascii="宋体" w:hAnsi="宋体"/>
                <w:color w:val="auto"/>
                <w:szCs w:val="21"/>
                <w:highlight w:val="none"/>
                <w:lang w:val="zh-CN"/>
              </w:rPr>
              <w:t>通用测试</w:t>
            </w:r>
          </w:p>
        </w:tc>
        <w:tc>
          <w:tcPr>
            <w:tcW w:w="1423" w:type="dxa"/>
            <w:vAlign w:val="center"/>
          </w:tcPr>
          <w:p>
            <w:pPr>
              <w:jc w:val="center"/>
              <w:rPr>
                <w:rFonts w:ascii="宋体" w:hAnsi="宋体"/>
                <w:color w:val="auto"/>
                <w:szCs w:val="21"/>
                <w:highlight w:val="none"/>
                <w:lang w:val="zh-CN"/>
              </w:rPr>
            </w:pPr>
            <w:r>
              <w:rPr>
                <w:rFonts w:hint="eastAsia" w:ascii="宋体" w:hAnsi="宋体"/>
                <w:color w:val="auto"/>
                <w:szCs w:val="21"/>
                <w:highlight w:val="none"/>
                <w:lang w:val="zh-CN"/>
              </w:rPr>
              <w:t>可用性</w:t>
            </w:r>
          </w:p>
          <w:p>
            <w:pPr>
              <w:jc w:val="center"/>
              <w:rPr>
                <w:rFonts w:ascii="宋体" w:hAnsi="宋体"/>
                <w:color w:val="auto"/>
                <w:szCs w:val="21"/>
                <w:highlight w:val="none"/>
                <w:lang w:val="zh-CN"/>
              </w:rPr>
            </w:pPr>
            <w:r>
              <w:rPr>
                <w:rFonts w:hint="eastAsia" w:ascii="宋体" w:hAnsi="宋体"/>
                <w:color w:val="auto"/>
                <w:szCs w:val="21"/>
                <w:highlight w:val="none"/>
                <w:lang w:val="zh-CN"/>
              </w:rPr>
              <w:t>测试</w:t>
            </w:r>
          </w:p>
        </w:tc>
        <w:tc>
          <w:tcPr>
            <w:tcW w:w="1481" w:type="dxa"/>
            <w:vAlign w:val="center"/>
          </w:tcPr>
          <w:p>
            <w:pPr>
              <w:jc w:val="center"/>
              <w:rPr>
                <w:rFonts w:ascii="宋体" w:hAnsi="宋体"/>
                <w:color w:val="auto"/>
                <w:szCs w:val="21"/>
                <w:highlight w:val="none"/>
                <w:lang w:val="zh-CN"/>
              </w:rPr>
            </w:pPr>
            <w:r>
              <w:rPr>
                <w:rFonts w:hint="eastAsia" w:ascii="宋体" w:hAnsi="宋体"/>
                <w:color w:val="auto"/>
                <w:szCs w:val="21"/>
                <w:highlight w:val="none"/>
                <w:lang w:val="zh-CN"/>
              </w:rPr>
              <w:t>运行稳定性测试</w:t>
            </w:r>
          </w:p>
        </w:tc>
        <w:tc>
          <w:tcPr>
            <w:tcW w:w="1039" w:type="dxa"/>
            <w:vAlign w:val="center"/>
          </w:tcPr>
          <w:p>
            <w:pPr>
              <w:jc w:val="center"/>
              <w:rPr>
                <w:rFonts w:ascii="宋体" w:hAnsi="宋体"/>
                <w:color w:val="auto"/>
                <w:szCs w:val="21"/>
                <w:highlight w:val="none"/>
                <w:lang w:val="zh-CN"/>
              </w:rPr>
            </w:pPr>
            <w:r>
              <w:rPr>
                <w:rFonts w:hint="eastAsia" w:ascii="宋体" w:hAnsi="宋体"/>
                <w:color w:val="auto"/>
                <w:szCs w:val="21"/>
                <w:highlight w:val="none"/>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2819" w:type="dxa"/>
            <w:gridSpan w:val="2"/>
            <w:vAlign w:val="center"/>
          </w:tcPr>
          <w:p>
            <w:pPr>
              <w:jc w:val="center"/>
              <w:rPr>
                <w:rFonts w:ascii="宋体" w:hAnsi="宋体"/>
                <w:color w:val="auto"/>
                <w:szCs w:val="21"/>
                <w:highlight w:val="none"/>
              </w:rPr>
            </w:pPr>
            <w:r>
              <w:rPr>
                <w:rFonts w:hint="eastAsia" w:ascii="宋体" w:hAnsi="宋体"/>
                <w:color w:val="auto"/>
                <w:szCs w:val="21"/>
                <w:highlight w:val="none"/>
              </w:rPr>
              <w:t>送检设备信息检查</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新增</w:t>
            </w:r>
          </w:p>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rPr>
                <w:rFonts w:ascii="宋体" w:hAnsi="宋体"/>
                <w:color w:val="auto"/>
                <w:szCs w:val="21"/>
                <w:highlight w:val="none"/>
              </w:rPr>
            </w:pPr>
            <w:r>
              <w:rPr>
                <w:rFonts w:hint="eastAsia" w:ascii="宋体" w:hAnsi="宋体"/>
                <w:color w:val="auto"/>
                <w:szCs w:val="21"/>
                <w:highlight w:val="none"/>
              </w:rPr>
              <w:t>计量功能检验</w:t>
            </w:r>
          </w:p>
        </w:tc>
        <w:tc>
          <w:tcPr>
            <w:tcW w:w="1660" w:type="dxa"/>
            <w:vAlign w:val="center"/>
          </w:tcPr>
          <w:p>
            <w:pPr>
              <w:widowControl/>
              <w:jc w:val="center"/>
              <w:rPr>
                <w:rFonts w:ascii="宋体" w:hAnsi="宋体"/>
                <w:color w:val="auto"/>
                <w:szCs w:val="21"/>
                <w:highlight w:val="none"/>
              </w:rPr>
            </w:pPr>
            <w:r>
              <w:rPr>
                <w:rFonts w:hint="eastAsia" w:ascii="宋体" w:hAnsi="宋体"/>
                <w:color w:val="auto"/>
                <w:szCs w:val="21"/>
                <w:highlight w:val="none"/>
              </w:rPr>
              <w:t>通信接口检验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lang w:val="zh-CN"/>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*数据采集功能检验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数据处理和存储功能检验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参数设置和查询功能检验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*通信传输功能检验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jc w:val="center"/>
              <w:rPr>
                <w:rFonts w:ascii="宋体" w:hAnsi="宋体"/>
                <w:color w:val="auto"/>
                <w:szCs w:val="21"/>
                <w:highlight w:val="none"/>
              </w:rPr>
            </w:pPr>
            <w:r>
              <w:rPr>
                <w:rFonts w:hint="eastAsia" w:ascii="宋体" w:hAnsi="宋体"/>
                <w:color w:val="auto"/>
                <w:szCs w:val="21"/>
                <w:highlight w:val="none"/>
              </w:rPr>
              <w:t>相量数据集中器功能检验</w:t>
            </w: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数据</w:t>
            </w:r>
            <w:r>
              <w:rPr>
                <w:rFonts w:ascii="宋体" w:hAnsi="宋体"/>
                <w:color w:val="auto"/>
                <w:szCs w:val="21"/>
                <w:highlight w:val="none"/>
              </w:rPr>
              <w:t>汇</w:t>
            </w:r>
            <w:r>
              <w:rPr>
                <w:rFonts w:hint="eastAsia" w:ascii="宋体" w:hAnsi="宋体"/>
                <w:color w:val="auto"/>
                <w:szCs w:val="21"/>
                <w:highlight w:val="none"/>
              </w:rPr>
              <w:t>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*实时通信功能检验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*动态数据记录功能检验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离线数据召唤功能检验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ascii="宋体" w:hAnsi="宋体"/>
                <w:color w:val="auto"/>
                <w:szCs w:val="21"/>
                <w:highlight w:val="none"/>
              </w:rPr>
              <w:t>告警直传</w:t>
            </w:r>
            <w:r>
              <w:rPr>
                <w:rFonts w:hint="eastAsia" w:ascii="宋体" w:hAnsi="宋体"/>
                <w:color w:val="auto"/>
                <w:szCs w:val="21"/>
                <w:highlight w:val="none"/>
              </w:rPr>
              <w:t>功能检验</w:t>
            </w:r>
          </w:p>
        </w:tc>
        <w:tc>
          <w:tcPr>
            <w:tcW w:w="1660" w:type="dxa"/>
            <w:vAlign w:val="center"/>
          </w:tcPr>
          <w:p>
            <w:pPr>
              <w:widowControl/>
              <w:jc w:val="center"/>
              <w:rPr>
                <w:rFonts w:ascii="宋体" w:hAnsi="宋体"/>
                <w:color w:val="auto"/>
                <w:szCs w:val="21"/>
                <w:highlight w:val="none"/>
              </w:rPr>
            </w:pPr>
            <w:r>
              <w:rPr>
                <w:rFonts w:hint="eastAsia" w:ascii="宋体" w:hAnsi="宋体"/>
                <w:color w:val="auto"/>
                <w:szCs w:val="21"/>
                <w:highlight w:val="none"/>
              </w:rPr>
              <w:t>告警直传检验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告警传输时间检验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在线监测功能检验</w:t>
            </w:r>
          </w:p>
        </w:tc>
        <w:tc>
          <w:tcPr>
            <w:tcW w:w="1660" w:type="dxa"/>
            <w:vAlign w:val="center"/>
          </w:tcPr>
          <w:p>
            <w:pPr>
              <w:widowControl/>
              <w:jc w:val="center"/>
              <w:rPr>
                <w:rFonts w:ascii="宋体" w:hAnsi="宋体"/>
                <w:color w:val="auto"/>
                <w:szCs w:val="21"/>
                <w:highlight w:val="none"/>
              </w:rPr>
            </w:pPr>
            <w:r>
              <w:rPr>
                <w:rFonts w:ascii="宋体" w:hAnsi="宋体" w:cs="Arial"/>
                <w:color w:val="auto"/>
                <w:szCs w:val="21"/>
                <w:highlight w:val="none"/>
              </w:rPr>
              <w:t>基本通信功能检验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*数据传输、处理及存储功能检验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*监测装置管理功能检验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自检测与自恢复功能检验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系统配置和维护功能检验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人机交互功能检验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olor w:val="auto"/>
                <w:szCs w:val="21"/>
                <w:highlight w:val="none"/>
              </w:rPr>
            </w:pPr>
            <w:r>
              <w:rPr>
                <w:rFonts w:hint="eastAsia" w:ascii="宋体" w:hAnsi="宋体" w:cs="Arial"/>
                <w:color w:val="auto"/>
                <w:szCs w:val="21"/>
                <w:highlight w:val="none"/>
              </w:rPr>
              <w:t>*性能检验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远程浏览功能检验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画面调用规范检验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画面请求功能检验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画面数据刷新功能检验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图形文件版本管理功能检验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源端维护功能检验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模型文件校验功能检验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源端维护发布流程检验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源端维护订阅流程检验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多通道转发表配置功能检验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过程显示与日志功能检验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文件校验响应时间检验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顺序控制功能检验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olor w:val="auto"/>
                <w:szCs w:val="21"/>
                <w:highlight w:val="none"/>
              </w:rPr>
              <w:t>控制范围检验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olor w:val="auto"/>
                <w:szCs w:val="21"/>
                <w:highlight w:val="none"/>
              </w:rPr>
              <w:t>操作结果检查功能检验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防误逻辑检验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操作票功能检验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olor w:val="auto"/>
                <w:szCs w:val="21"/>
                <w:highlight w:val="none"/>
              </w:rPr>
              <w:t>顺控预演功能检验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操作控制功能检验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电压无功控制功能检验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运行方式检验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闭锁功能检验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实时监测功能检验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参数设置功能检验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并列识别功能检验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调节操作记录功能检验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olor w:val="auto"/>
                <w:szCs w:val="21"/>
                <w:highlight w:val="none"/>
              </w:rPr>
              <w:t>控制记录功能检验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监控终端功能检验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画面展示功能检验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画面操作功能检验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信息查看和检索功能检验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olor w:val="auto"/>
                <w:szCs w:val="21"/>
                <w:highlight w:val="none"/>
              </w:rPr>
              <w:t>即插即用功能检验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2819" w:type="dxa"/>
            <w:gridSpan w:val="2"/>
            <w:vAlign w:val="center"/>
          </w:tcPr>
          <w:p>
            <w:pPr>
              <w:widowControl/>
              <w:jc w:val="center"/>
              <w:rPr>
                <w:rFonts w:ascii="宋体" w:hAnsi="宋体" w:cs="Arial"/>
                <w:color w:val="auto"/>
                <w:szCs w:val="21"/>
                <w:highlight w:val="none"/>
              </w:rPr>
            </w:pPr>
            <w:r>
              <w:rPr>
                <w:rFonts w:hint="eastAsia" w:ascii="宋体" w:hAnsi="宋体"/>
                <w:color w:val="auto"/>
                <w:szCs w:val="21"/>
                <w:highlight w:val="none"/>
              </w:rPr>
              <w:t>防误闭锁功能检验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对时和时间管理功能检验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时间同步功能检验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时间同步监测管理功能检验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冗余功能检验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*双机冗余功能检验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*双通道冗余功能检验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2819" w:type="dxa"/>
            <w:gridSpan w:val="2"/>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*通道监视功能检验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自检和日志功能检验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自诊断功能检验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*日志功能检验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*模块独立性检验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性能指标检验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*接入能力检验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*响应时间检验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*雪崩检验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*遥控成功率检验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*系统资源技术指标检验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同一I</w:t>
            </w:r>
            <w:r>
              <w:rPr>
                <w:rFonts w:ascii="宋体" w:hAnsi="宋体" w:cs="Arial"/>
                <w:color w:val="auto"/>
                <w:szCs w:val="21"/>
                <w:highlight w:val="none"/>
              </w:rPr>
              <w:t>P地址多连接检验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规约一致性检验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101规约一致性检验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104规约一致性检验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61850规约一致性检验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P</w:t>
            </w:r>
            <w:r>
              <w:rPr>
                <w:rFonts w:ascii="宋体" w:hAnsi="宋体" w:cs="Arial"/>
                <w:color w:val="auto"/>
                <w:szCs w:val="21"/>
                <w:highlight w:val="none"/>
              </w:rPr>
              <w:t>MU规约一致性检验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计量上行</w:t>
            </w:r>
            <w:r>
              <w:rPr>
                <w:rFonts w:ascii="宋体" w:hAnsi="宋体" w:cs="Arial"/>
                <w:color w:val="auto"/>
                <w:szCs w:val="21"/>
                <w:highlight w:val="none"/>
              </w:rPr>
              <w:t>规约一致性检验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一</w:t>
            </w:r>
            <w:r>
              <w:rPr>
                <w:rFonts w:ascii="宋体" w:hAnsi="宋体"/>
                <w:color w:val="auto"/>
                <w:szCs w:val="21"/>
                <w:highlight w:val="none"/>
              </w:rPr>
              <w:t>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2819" w:type="dxa"/>
            <w:gridSpan w:val="2"/>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电源影响</w:t>
            </w:r>
            <w:r>
              <w:rPr>
                <w:rFonts w:ascii="宋体" w:hAnsi="宋体"/>
                <w:color w:val="auto"/>
                <w:szCs w:val="21"/>
                <w:highlight w:val="none"/>
              </w:rPr>
              <w:t>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绝缘性能检验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*绝缘电阻</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*介质强度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*冲击电压</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气候</w:t>
            </w:r>
            <w:r>
              <w:rPr>
                <w:rFonts w:ascii="宋体" w:hAnsi="宋体"/>
                <w:color w:val="auto"/>
                <w:szCs w:val="21"/>
                <w:highlight w:val="none"/>
              </w:rPr>
              <w:t>环境</w:t>
            </w:r>
            <w:r>
              <w:rPr>
                <w:rFonts w:hint="eastAsia" w:ascii="宋体" w:hAnsi="宋体"/>
                <w:color w:val="auto"/>
                <w:szCs w:val="21"/>
                <w:highlight w:val="none"/>
              </w:rPr>
              <w:t>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高温运行检验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低温运行检验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kern w:val="0"/>
                <w:szCs w:val="21"/>
                <w:highlight w:val="none"/>
              </w:rPr>
              <w:t>恒定湿热检验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*环境温度极端范围极限值检验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机械性能</w:t>
            </w:r>
            <w:r>
              <w:rPr>
                <w:rFonts w:ascii="宋体" w:hAnsi="宋体"/>
                <w:color w:val="auto"/>
                <w:szCs w:val="21"/>
                <w:highlight w:val="none"/>
              </w:rPr>
              <w:t>试验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振动响应试验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振动耐久试验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冲击</w:t>
            </w:r>
            <w:r>
              <w:rPr>
                <w:rFonts w:ascii="宋体" w:hAnsi="宋体"/>
                <w:color w:val="auto"/>
                <w:szCs w:val="21"/>
                <w:highlight w:val="none"/>
              </w:rPr>
              <w:t>响应</w:t>
            </w:r>
            <w:r>
              <w:rPr>
                <w:rFonts w:hint="eastAsia" w:ascii="宋体" w:hAnsi="宋体"/>
                <w:color w:val="auto"/>
                <w:szCs w:val="21"/>
                <w:highlight w:val="none"/>
              </w:rPr>
              <w:t>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冲击耐久试验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碰撞试验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电磁兼容检验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*静电放电抗扰度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*射频电磁场辐射抗扰度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*电快速瞬变脉冲群抗扰度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*浪涌（冲击）抗扰度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*射频场感应的传导骚扰抗扰度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*工频磁场抗扰度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ascii="宋体" w:hAnsi="宋体" w:cs="Arial"/>
                <w:color w:val="auto"/>
                <w:szCs w:val="21"/>
                <w:highlight w:val="none"/>
              </w:rPr>
              <w:t>脉冲磁场抗扰度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ascii="宋体" w:hAnsi="宋体" w:cs="Arial"/>
                <w:color w:val="auto"/>
                <w:szCs w:val="21"/>
                <w:highlight w:val="none"/>
              </w:rPr>
              <w:t>阻尼</w:t>
            </w:r>
            <w:r>
              <w:rPr>
                <w:rFonts w:hint="eastAsia" w:ascii="宋体" w:hAnsi="宋体" w:cs="Arial"/>
                <w:color w:val="auto"/>
                <w:szCs w:val="21"/>
                <w:highlight w:val="none"/>
              </w:rPr>
              <w:t>振荡</w:t>
            </w:r>
            <w:r>
              <w:rPr>
                <w:rFonts w:ascii="宋体" w:hAnsi="宋体" w:cs="Arial"/>
                <w:color w:val="auto"/>
                <w:szCs w:val="21"/>
                <w:highlight w:val="none"/>
              </w:rPr>
              <w:t>磁场抗扰度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*交流电源短时中断抗扰度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*直流电源短时中断抗扰度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*阻尼振荡波抗扰度</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p>
        </w:tc>
        <w:tc>
          <w:tcPr>
            <w:tcW w:w="1039" w:type="dxa"/>
            <w:vAlign w:val="center"/>
          </w:tcPr>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ascii="宋体" w:hAnsi="宋体"/>
                <w:color w:val="auto"/>
                <w:szCs w:val="21"/>
                <w:highlight w:val="none"/>
              </w:rPr>
              <w:t>长期运行稳定性试验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*数据采集功能检验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*数据传输、处理及存储功能检验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数据</w:t>
            </w:r>
            <w:r>
              <w:rPr>
                <w:rFonts w:ascii="宋体" w:hAnsi="宋体"/>
                <w:color w:val="auto"/>
                <w:szCs w:val="21"/>
                <w:highlight w:val="none"/>
              </w:rPr>
              <w:t>汇</w:t>
            </w:r>
            <w:r>
              <w:rPr>
                <w:rFonts w:hint="eastAsia" w:ascii="宋体" w:hAnsi="宋体"/>
                <w:color w:val="auto"/>
                <w:szCs w:val="21"/>
                <w:highlight w:val="none"/>
              </w:rPr>
              <w:t>集功能检验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*实时通信功能检验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画面数据刷新功能检验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w:t>
            </w:r>
            <w:r>
              <w:rPr>
                <w:rFonts w:hint="eastAsia" w:ascii="宋体" w:hAnsi="宋体"/>
                <w:color w:val="auto"/>
                <w:szCs w:val="21"/>
                <w:highlight w:val="none"/>
              </w:rPr>
              <w:t>时间同步功能检验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restart"/>
            <w:vAlign w:val="center"/>
          </w:tcPr>
          <w:p>
            <w:pPr>
              <w:widowControl/>
              <w:jc w:val="center"/>
              <w:rPr>
                <w:rFonts w:ascii="宋体" w:hAnsi="宋体"/>
                <w:color w:val="auto"/>
                <w:szCs w:val="21"/>
                <w:highlight w:val="none"/>
              </w:rPr>
            </w:pPr>
            <w:r>
              <w:rPr>
                <w:rFonts w:hint="eastAsia" w:ascii="宋体" w:hAnsi="宋体"/>
                <w:color w:val="auto"/>
                <w:szCs w:val="21"/>
                <w:highlight w:val="none"/>
              </w:rPr>
              <w:t>可靠性评估试验</w:t>
            </w: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MTBF评估</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低温步进应力试验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高温步进应力试验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快速温变循环试验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振动步进应力试验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7" w:type="dxa"/>
            <w:vAlign w:val="center"/>
          </w:tcPr>
          <w:p>
            <w:pPr>
              <w:numPr>
                <w:ilvl w:val="0"/>
                <w:numId w:val="30"/>
              </w:numPr>
              <w:jc w:val="center"/>
              <w:rPr>
                <w:rFonts w:ascii="宋体" w:hAnsi="宋体"/>
                <w:color w:val="auto"/>
                <w:szCs w:val="21"/>
                <w:highlight w:val="none"/>
              </w:rPr>
            </w:pPr>
          </w:p>
        </w:tc>
        <w:tc>
          <w:tcPr>
            <w:tcW w:w="1159" w:type="dxa"/>
            <w:vMerge w:val="continue"/>
            <w:vAlign w:val="center"/>
          </w:tcPr>
          <w:p>
            <w:pPr>
              <w:widowControl/>
              <w:jc w:val="center"/>
              <w:rPr>
                <w:rFonts w:ascii="宋体" w:hAnsi="宋体"/>
                <w:color w:val="auto"/>
                <w:szCs w:val="21"/>
                <w:highlight w:val="none"/>
              </w:rPr>
            </w:pPr>
          </w:p>
        </w:tc>
        <w:tc>
          <w:tcPr>
            <w:tcW w:w="1660" w:type="dxa"/>
            <w:vAlign w:val="center"/>
          </w:tcPr>
          <w:p>
            <w:pPr>
              <w:widowControl/>
              <w:jc w:val="center"/>
              <w:rPr>
                <w:rFonts w:ascii="宋体" w:hAnsi="宋体" w:cs="Arial"/>
                <w:color w:val="auto"/>
                <w:szCs w:val="21"/>
                <w:highlight w:val="none"/>
              </w:rPr>
            </w:pPr>
            <w:r>
              <w:rPr>
                <w:rFonts w:hint="eastAsia" w:ascii="宋体" w:hAnsi="宋体" w:cs="Arial"/>
                <w:color w:val="auto"/>
                <w:szCs w:val="21"/>
                <w:highlight w:val="none"/>
              </w:rPr>
              <w:t>综合应力循环试验</w:t>
            </w:r>
          </w:p>
        </w:tc>
        <w:tc>
          <w:tcPr>
            <w:tcW w:w="1247"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423" w:type="dxa"/>
            <w:vAlign w:val="center"/>
          </w:tcPr>
          <w:p>
            <w:pPr>
              <w:jc w:val="center"/>
              <w:rPr>
                <w:rFonts w:ascii="宋体" w:hAnsi="宋体"/>
                <w:color w:val="auto"/>
                <w:szCs w:val="21"/>
                <w:highlight w:val="none"/>
              </w:rPr>
            </w:pPr>
          </w:p>
        </w:tc>
        <w:tc>
          <w:tcPr>
            <w:tcW w:w="1481" w:type="dxa"/>
            <w:vAlign w:val="center"/>
          </w:tcPr>
          <w:p>
            <w:pPr>
              <w:jc w:val="center"/>
              <w:rPr>
                <w:rFonts w:ascii="宋体" w:hAnsi="宋体"/>
                <w:color w:val="auto"/>
                <w:szCs w:val="21"/>
                <w:highlight w:val="none"/>
              </w:rPr>
            </w:pPr>
            <w:r>
              <w:rPr>
                <w:rFonts w:hint="eastAsia" w:ascii="宋体" w:hAnsi="宋体"/>
                <w:color w:val="auto"/>
                <w:szCs w:val="21"/>
                <w:highlight w:val="none"/>
              </w:rPr>
              <w:t>√</w:t>
            </w:r>
          </w:p>
        </w:tc>
        <w:tc>
          <w:tcPr>
            <w:tcW w:w="1039" w:type="dxa"/>
            <w:vAlign w:val="center"/>
          </w:tcPr>
          <w:p>
            <w:pPr>
              <w:jc w:val="center"/>
              <w:rPr>
                <w:rFonts w:ascii="宋体" w:hAnsi="宋体"/>
                <w:color w:val="auto"/>
                <w:szCs w:val="21"/>
                <w:highlight w:val="none"/>
              </w:rPr>
            </w:pPr>
            <w:r>
              <w:rPr>
                <w:rFonts w:hint="eastAsia" w:ascii="宋体" w:hAnsi="宋体"/>
                <w:color w:val="auto"/>
                <w:szCs w:val="21"/>
                <w:highlight w:val="none"/>
              </w:rPr>
              <w:t>新</w:t>
            </w:r>
            <w:r>
              <w:rPr>
                <w:rFonts w:ascii="宋体" w:hAnsi="宋体"/>
                <w:color w:val="auto"/>
                <w:szCs w:val="21"/>
                <w:highlight w:val="none"/>
              </w:rPr>
              <w:t>增</w:t>
            </w:r>
          </w:p>
          <w:p>
            <w:pPr>
              <w:jc w:val="center"/>
              <w:rPr>
                <w:rFonts w:ascii="宋体" w:hAnsi="宋体"/>
                <w:color w:val="auto"/>
                <w:szCs w:val="21"/>
                <w:highlight w:val="none"/>
              </w:rPr>
            </w:pPr>
            <w:r>
              <w:rPr>
                <w:rFonts w:ascii="宋体" w:hAnsi="宋体"/>
                <w:color w:val="auto"/>
                <w:szCs w:val="21"/>
                <w:highlight w:val="none"/>
              </w:rPr>
              <w:t>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8896" w:type="dxa"/>
            <w:gridSpan w:val="7"/>
            <w:vAlign w:val="center"/>
          </w:tcPr>
          <w:p>
            <w:pPr>
              <w:rPr>
                <w:rFonts w:ascii="宋体" w:hAnsi="宋体"/>
                <w:color w:val="auto"/>
                <w:szCs w:val="21"/>
                <w:highlight w:val="none"/>
              </w:rPr>
            </w:pPr>
            <w:r>
              <w:rPr>
                <w:rFonts w:hint="eastAsia" w:ascii="宋体" w:hAnsi="宋体"/>
                <w:color w:val="auto"/>
                <w:szCs w:val="21"/>
                <w:highlight w:val="none"/>
              </w:rPr>
              <w:t>备注：</w:t>
            </w:r>
          </w:p>
        </w:tc>
      </w:tr>
    </w:tbl>
    <w:p>
      <w:pPr>
        <w:pStyle w:val="2"/>
        <w:rPr>
          <w:color w:val="auto"/>
          <w:sz w:val="24"/>
          <w:szCs w:val="24"/>
          <w:highlight w:val="none"/>
        </w:rPr>
      </w:pPr>
      <w:bookmarkStart w:id="78" w:name="_Toc528273521"/>
      <w:bookmarkStart w:id="79" w:name="_Toc49258165"/>
      <w:r>
        <w:rPr>
          <w:rFonts w:hint="eastAsia"/>
          <w:color w:val="auto"/>
          <w:sz w:val="24"/>
          <w:szCs w:val="24"/>
          <w:highlight w:val="none"/>
        </w:rPr>
        <w:t>检验方法</w:t>
      </w:r>
      <w:bookmarkEnd w:id="78"/>
      <w:bookmarkEnd w:id="79"/>
    </w:p>
    <w:p>
      <w:pPr>
        <w:pStyle w:val="3"/>
        <w:rPr>
          <w:color w:val="auto"/>
          <w:sz w:val="24"/>
          <w:szCs w:val="24"/>
          <w:highlight w:val="none"/>
        </w:rPr>
      </w:pPr>
      <w:bookmarkStart w:id="80" w:name="_Toc49258166"/>
      <w:bookmarkStart w:id="81" w:name="_Toc528273522"/>
      <w:r>
        <w:rPr>
          <w:rFonts w:hint="eastAsia"/>
          <w:color w:val="auto"/>
          <w:sz w:val="24"/>
          <w:szCs w:val="24"/>
          <w:highlight w:val="none"/>
        </w:rPr>
        <w:t>文件和配置检查</w:t>
      </w:r>
      <w:bookmarkEnd w:id="80"/>
      <w:bookmarkEnd w:id="81"/>
    </w:p>
    <w:p>
      <w:pPr>
        <w:pStyle w:val="5"/>
        <w:rPr>
          <w:color w:val="auto"/>
          <w:sz w:val="24"/>
          <w:szCs w:val="24"/>
          <w:highlight w:val="none"/>
        </w:rPr>
      </w:pPr>
      <w:bookmarkStart w:id="82" w:name="_Toc528273523"/>
      <w:r>
        <w:rPr>
          <w:rFonts w:hint="eastAsia"/>
          <w:color w:val="auto"/>
          <w:sz w:val="24"/>
          <w:szCs w:val="24"/>
          <w:highlight w:val="none"/>
        </w:rPr>
        <w:t>基本信息检查</w:t>
      </w:r>
      <w:bookmarkEnd w:id="82"/>
    </w:p>
    <w:tbl>
      <w:tblPr>
        <w:tblStyle w:val="48"/>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743"/>
        <w:gridCol w:w="1151"/>
        <w:gridCol w:w="1479"/>
        <w:gridCol w:w="1555"/>
        <w:gridCol w:w="1945"/>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序号</w:t>
            </w:r>
          </w:p>
        </w:tc>
        <w:tc>
          <w:tcPr>
            <w:tcW w:w="1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highlight w:val="none"/>
              </w:rPr>
              <w:t>基本信息</w:t>
            </w:r>
          </w:p>
        </w:tc>
        <w:tc>
          <w:tcPr>
            <w:tcW w:w="618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参测设备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tcBorders>
              <w:top w:val="single" w:color="auto" w:sz="4" w:space="0"/>
              <w:left w:val="single" w:color="auto" w:sz="4" w:space="0"/>
              <w:bottom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1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设备名称</w:t>
            </w:r>
          </w:p>
        </w:tc>
        <w:tc>
          <w:tcPr>
            <w:tcW w:w="618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tcBorders>
              <w:top w:val="single" w:color="auto" w:sz="4" w:space="0"/>
              <w:left w:val="single" w:color="auto" w:sz="4" w:space="0"/>
              <w:bottom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1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规格型号</w:t>
            </w:r>
          </w:p>
        </w:tc>
        <w:tc>
          <w:tcPr>
            <w:tcW w:w="618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tcBorders>
              <w:top w:val="single" w:color="auto" w:sz="4" w:space="0"/>
              <w:left w:val="single" w:color="auto" w:sz="4" w:space="0"/>
              <w:bottom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1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设备数量</w:t>
            </w:r>
          </w:p>
        </w:tc>
        <w:tc>
          <w:tcPr>
            <w:tcW w:w="618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restart"/>
            <w:tcBorders>
              <w:top w:val="single" w:color="auto" w:sz="4" w:space="0"/>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restart"/>
            <w:tcBorders>
              <w:top w:val="single" w:color="auto" w:sz="4" w:space="0"/>
              <w:left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硬件</w:t>
            </w:r>
          </w:p>
        </w:tc>
        <w:tc>
          <w:tcPr>
            <w:tcW w:w="1151" w:type="dxa"/>
            <w:vMerge w:val="restart"/>
            <w:tcBorders>
              <w:top w:val="single" w:color="auto" w:sz="4" w:space="0"/>
              <w:left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结构与构件</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结构</w:t>
            </w: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插件</w:t>
            </w:r>
          </w:p>
        </w:tc>
        <w:tc>
          <w:tcPr>
            <w:tcW w:w="19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CPU/内存/硬盘</w:t>
            </w:r>
          </w:p>
        </w:tc>
        <w:tc>
          <w:tcPr>
            <w:tcW w:w="12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vMerge w:val="continue"/>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vMerge w:val="restart"/>
            <w:tcBorders>
              <w:left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平台架构</w:t>
            </w:r>
          </w:p>
        </w:tc>
        <w:tc>
          <w:tcPr>
            <w:tcW w:w="6181" w:type="dxa"/>
            <w:gridSpan w:val="4"/>
            <w:tcBorders>
              <w:top w:val="single" w:color="auto" w:sz="4" w:space="0"/>
              <w:left w:val="single" w:color="auto" w:sz="4" w:space="0"/>
              <w:bottom w:val="single" w:color="auto" w:sz="4" w:space="0"/>
              <w:right w:val="single" w:color="auto" w:sz="4" w:space="0"/>
            </w:tcBorders>
            <w:vAlign w:val="center"/>
          </w:tcPr>
          <w:p>
            <w:pPr>
              <w:rPr>
                <w:rFonts w:ascii="Calibri" w:hAnsi="Calibri" w:cs="Calibri"/>
                <w:color w:val="auto"/>
                <w:kern w:val="0"/>
                <w:szCs w:val="21"/>
                <w:highlight w:val="none"/>
              </w:rPr>
            </w:pPr>
            <w:r>
              <w:rPr>
                <w:rFonts w:hint="eastAsia" w:ascii="Calibri" w:hAnsi="Calibri" w:cs="Calibri"/>
                <w:color w:val="auto"/>
                <w:kern w:val="0"/>
                <w:szCs w:val="21"/>
                <w:highlight w:val="none"/>
              </w:rPr>
              <w:t>1、说明硬件平台架构、外购或自主开发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6181" w:type="dxa"/>
            <w:gridSpan w:val="4"/>
            <w:tcBorders>
              <w:top w:val="single" w:color="auto" w:sz="4" w:space="0"/>
              <w:left w:val="single" w:color="auto" w:sz="4" w:space="0"/>
              <w:bottom w:val="single" w:color="auto" w:sz="4" w:space="0"/>
              <w:right w:val="single" w:color="auto" w:sz="4" w:space="0"/>
            </w:tcBorders>
            <w:vAlign w:val="center"/>
          </w:tcPr>
          <w:p>
            <w:pPr>
              <w:rPr>
                <w:rFonts w:ascii="Calibri" w:hAnsi="Calibri" w:cs="Calibri"/>
                <w:color w:val="auto"/>
                <w:kern w:val="0"/>
                <w:szCs w:val="21"/>
                <w:highlight w:val="none"/>
              </w:rPr>
            </w:pPr>
            <w:r>
              <w:rPr>
                <w:rFonts w:hint="eastAsia" w:ascii="Calibri" w:hAnsi="Calibri" w:cs="Calibri"/>
                <w:color w:val="auto"/>
                <w:kern w:val="0"/>
                <w:szCs w:val="21"/>
                <w:highlight w:val="none"/>
              </w:rPr>
              <w:t>2、插件式说明业务、板卡对应原则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5" w:type="dxa"/>
            <w:vMerge w:val="continue"/>
            <w:tcBorders>
              <w:left w:val="single" w:color="auto" w:sz="4" w:space="0"/>
              <w:bottom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vMerge w:val="continue"/>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6181" w:type="dxa"/>
            <w:gridSpan w:val="4"/>
            <w:tcBorders>
              <w:top w:val="single" w:color="auto" w:sz="4" w:space="0"/>
              <w:left w:val="single" w:color="auto" w:sz="4" w:space="0"/>
              <w:bottom w:val="single" w:color="auto" w:sz="4" w:space="0"/>
              <w:right w:val="single" w:color="auto" w:sz="4" w:space="0"/>
            </w:tcBorders>
            <w:vAlign w:val="center"/>
          </w:tcPr>
          <w:p>
            <w:pPr>
              <w:rPr>
                <w:rFonts w:ascii="Calibri" w:hAnsi="Calibri" w:cs="Calibri"/>
                <w:color w:val="auto"/>
                <w:kern w:val="0"/>
                <w:szCs w:val="21"/>
                <w:highlight w:val="none"/>
              </w:rPr>
            </w:pPr>
            <w:r>
              <w:rPr>
                <w:rFonts w:hint="eastAsia" w:ascii="Calibri" w:hAnsi="Calibri" w:cs="Calibri"/>
                <w:color w:val="auto"/>
                <w:kern w:val="0"/>
                <w:szCs w:val="21"/>
                <w:highlight w:val="none"/>
              </w:rPr>
              <w:t>3、整机式说明业务、网口分布原则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restart"/>
            <w:tcBorders>
              <w:top w:val="single" w:color="auto" w:sz="4" w:space="0"/>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restart"/>
            <w:tcBorders>
              <w:top w:val="single" w:color="auto" w:sz="4" w:space="0"/>
              <w:left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软件</w:t>
            </w:r>
          </w:p>
        </w:tc>
        <w:tc>
          <w:tcPr>
            <w:tcW w:w="1151" w:type="dxa"/>
            <w:tcBorders>
              <w:top w:val="single" w:color="auto" w:sz="4" w:space="0"/>
              <w:left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项目</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r>
              <w:rPr>
                <w:rFonts w:hint="eastAsia" w:ascii="Calibri" w:hAnsi="Calibri" w:cs="Calibri"/>
                <w:color w:val="auto"/>
                <w:kern w:val="0"/>
                <w:szCs w:val="21"/>
                <w:highlight w:val="none"/>
              </w:rPr>
              <w:t>软件版本号</w:t>
            </w: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r>
              <w:rPr>
                <w:rFonts w:hint="eastAsia" w:ascii="Calibri" w:hAnsi="Calibri" w:cs="Calibri"/>
                <w:color w:val="auto"/>
                <w:kern w:val="0"/>
                <w:szCs w:val="21"/>
                <w:highlight w:val="none"/>
              </w:rPr>
              <w:t>程序校验码</w:t>
            </w:r>
          </w:p>
        </w:tc>
        <w:tc>
          <w:tcPr>
            <w:tcW w:w="194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r>
              <w:rPr>
                <w:rFonts w:hint="eastAsia" w:ascii="Calibri" w:hAnsi="Calibri" w:cs="Calibri"/>
                <w:color w:val="auto"/>
                <w:kern w:val="0"/>
                <w:szCs w:val="21"/>
                <w:highlight w:val="none"/>
              </w:rPr>
              <w:t>操作系统</w:t>
            </w:r>
          </w:p>
        </w:tc>
        <w:tc>
          <w:tcPr>
            <w:tcW w:w="120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r>
              <w:rPr>
                <w:rFonts w:hint="eastAsia" w:ascii="Calibri" w:hAnsi="Calibri" w:cs="Calibri"/>
                <w:color w:val="auto"/>
                <w:kern w:val="0"/>
                <w:szCs w:val="21"/>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主程序</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vMerge w:val="restart"/>
            <w:tcBorders>
              <w:top w:val="single" w:color="auto" w:sz="4" w:space="0"/>
              <w:left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vMerge w:val="restart"/>
            <w:tcBorders>
              <w:top w:val="single" w:color="auto" w:sz="4" w:space="0"/>
              <w:left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远动系统</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保信系统</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PMU系统</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计量系统</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vMerge w:val="continue"/>
            <w:tcBorders>
              <w:left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continue"/>
            <w:tcBorders>
              <w:left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tcBorders>
              <w:left w:val="single" w:color="auto" w:sz="4" w:space="0"/>
              <w:bottom w:val="single" w:color="auto" w:sz="4" w:space="0"/>
              <w:right w:val="single" w:color="auto" w:sz="4" w:space="0"/>
            </w:tcBorders>
            <w:vAlign w:val="center"/>
          </w:tcPr>
          <w:p>
            <w:pPr>
              <w:adjustRightInd w:val="0"/>
              <w:snapToGrid w:val="0"/>
              <w:jc w:val="center"/>
              <w:rPr>
                <w:rFonts w:ascii="宋体" w:hAnsi="Calibri" w:cs="宋体"/>
                <w:color w:val="auto"/>
                <w:kern w:val="0"/>
                <w:szCs w:val="21"/>
                <w:highlight w:val="none"/>
              </w:rPr>
            </w:pPr>
            <w:r>
              <w:rPr>
                <w:rFonts w:hint="eastAsia" w:ascii="宋体" w:hAnsi="Calibri" w:cs="宋体"/>
                <w:color w:val="auto"/>
                <w:kern w:val="0"/>
                <w:szCs w:val="21"/>
                <w:highlight w:val="none"/>
              </w:rPr>
              <w:t>在线监测</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vMerge w:val="continue"/>
            <w:tcBorders>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vMerge w:val="continue"/>
            <w:tcBorders>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55" w:type="dxa"/>
            <w:vMerge w:val="continue"/>
            <w:tcBorders>
              <w:left w:val="single" w:color="auto" w:sz="4" w:space="0"/>
              <w:bottom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743" w:type="dxa"/>
            <w:vMerge w:val="continue"/>
            <w:tcBorders>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p>
        </w:tc>
        <w:tc>
          <w:tcPr>
            <w:tcW w:w="1151" w:type="dxa"/>
            <w:tcBorders>
              <w:left w:val="single" w:color="auto" w:sz="4" w:space="0"/>
              <w:bottom w:val="single" w:color="auto" w:sz="4" w:space="0"/>
              <w:right w:val="single" w:color="auto" w:sz="4" w:space="0"/>
            </w:tcBorders>
            <w:vAlign w:val="center"/>
          </w:tcPr>
          <w:p>
            <w:pPr>
              <w:adjustRightInd w:val="0"/>
              <w:snapToGrid w:val="0"/>
              <w:jc w:val="center"/>
              <w:rPr>
                <w:rFonts w:ascii="宋体" w:hAnsi="Calibri" w:cs="宋体"/>
                <w:color w:val="auto"/>
                <w:kern w:val="0"/>
                <w:szCs w:val="21"/>
                <w:highlight w:val="none"/>
              </w:rPr>
            </w:pPr>
            <w:r>
              <w:rPr>
                <w:rFonts w:hint="eastAsia" w:ascii="宋体" w:hAnsi="Calibri" w:cs="宋体"/>
                <w:color w:val="auto"/>
                <w:kern w:val="0"/>
                <w:szCs w:val="21"/>
                <w:highlight w:val="none"/>
              </w:rPr>
              <w:t>高级应用功能</w:t>
            </w:r>
          </w:p>
        </w:tc>
        <w:tc>
          <w:tcPr>
            <w:tcW w:w="14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55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945" w:type="dxa"/>
            <w:tcBorders>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c>
          <w:tcPr>
            <w:tcW w:w="1202" w:type="dxa"/>
            <w:tcBorders>
              <w:left w:val="single" w:color="auto" w:sz="4" w:space="0"/>
              <w:bottom w:val="single" w:color="auto" w:sz="4" w:space="0"/>
              <w:right w:val="single" w:color="auto" w:sz="4" w:space="0"/>
            </w:tcBorders>
            <w:vAlign w:val="center"/>
          </w:tcPr>
          <w:p>
            <w:pPr>
              <w:jc w:val="center"/>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855" w:type="dxa"/>
            <w:tcBorders>
              <w:top w:val="single" w:color="auto" w:sz="4" w:space="0"/>
              <w:left w:val="single" w:color="auto" w:sz="4" w:space="0"/>
              <w:bottom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1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电源</w:t>
            </w:r>
          </w:p>
        </w:tc>
        <w:tc>
          <w:tcPr>
            <w:tcW w:w="6181" w:type="dxa"/>
            <w:gridSpan w:val="4"/>
            <w:tcBorders>
              <w:top w:val="single" w:color="auto" w:sz="4" w:space="0"/>
              <w:left w:val="single" w:color="auto" w:sz="4" w:space="0"/>
              <w:bottom w:val="single" w:color="auto" w:sz="4" w:space="0"/>
              <w:right w:val="single" w:color="auto" w:sz="4" w:space="0"/>
            </w:tcBorders>
            <w:vAlign w:val="center"/>
          </w:tcPr>
          <w:p>
            <w:pPr>
              <w:jc w:val="left"/>
              <w:rPr>
                <w:rFonts w:ascii="Calibri" w:hAnsi="Calibri" w:cs="Calibri"/>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855" w:type="dxa"/>
            <w:tcBorders>
              <w:top w:val="single" w:color="auto" w:sz="4" w:space="0"/>
              <w:left w:val="single" w:color="auto" w:sz="4" w:space="0"/>
              <w:bottom w:val="single" w:color="auto" w:sz="4" w:space="0"/>
              <w:right w:val="single" w:color="auto" w:sz="4" w:space="0"/>
            </w:tcBorders>
            <w:vAlign w:val="center"/>
          </w:tcPr>
          <w:p>
            <w:pPr>
              <w:widowControl/>
              <w:numPr>
                <w:ilvl w:val="0"/>
                <w:numId w:val="31"/>
              </w:numPr>
              <w:jc w:val="center"/>
              <w:rPr>
                <w:rFonts w:ascii="Arial" w:hAnsi="Arial"/>
                <w:color w:val="auto"/>
                <w:szCs w:val="21"/>
                <w:highlight w:val="none"/>
              </w:rPr>
            </w:pPr>
          </w:p>
        </w:tc>
        <w:tc>
          <w:tcPr>
            <w:tcW w:w="1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Calibri" w:cs="宋体"/>
                <w:color w:val="auto"/>
                <w:kern w:val="0"/>
                <w:szCs w:val="21"/>
                <w:highlight w:val="none"/>
              </w:rPr>
            </w:pPr>
            <w:r>
              <w:rPr>
                <w:rFonts w:hint="eastAsia" w:ascii="宋体" w:hAnsi="Calibri" w:cs="宋体"/>
                <w:color w:val="auto"/>
                <w:kern w:val="0"/>
                <w:szCs w:val="21"/>
                <w:highlight w:val="none"/>
              </w:rPr>
              <w:t>备注</w:t>
            </w:r>
          </w:p>
        </w:tc>
        <w:tc>
          <w:tcPr>
            <w:tcW w:w="6181" w:type="dxa"/>
            <w:gridSpan w:val="4"/>
            <w:tcBorders>
              <w:top w:val="single" w:color="auto" w:sz="4" w:space="0"/>
              <w:left w:val="single" w:color="auto" w:sz="4" w:space="0"/>
              <w:bottom w:val="single" w:color="auto" w:sz="4" w:space="0"/>
              <w:right w:val="single" w:color="auto" w:sz="4" w:space="0"/>
            </w:tcBorders>
            <w:vAlign w:val="center"/>
          </w:tcPr>
          <w:p>
            <w:pPr>
              <w:jc w:val="left"/>
              <w:rPr>
                <w:rFonts w:ascii="Calibri" w:hAnsi="Calibri" w:cs="Calibri"/>
                <w:color w:val="auto"/>
                <w:kern w:val="0"/>
                <w:szCs w:val="21"/>
                <w:highlight w:val="none"/>
              </w:rPr>
            </w:pPr>
            <w:r>
              <w:rPr>
                <w:rFonts w:hint="eastAsia" w:ascii="Calibri" w:hAnsi="Calibri" w:cs="Calibri"/>
                <w:color w:val="auto"/>
                <w:kern w:val="0"/>
                <w:szCs w:val="21"/>
                <w:highlight w:val="none"/>
              </w:rPr>
              <w:t>另附元器件详单表格</w:t>
            </w:r>
          </w:p>
        </w:tc>
      </w:tr>
    </w:tbl>
    <w:p>
      <w:pPr>
        <w:autoSpaceDE w:val="0"/>
        <w:autoSpaceDN w:val="0"/>
        <w:adjustRightInd w:val="0"/>
        <w:jc w:val="left"/>
        <w:rPr>
          <w:rFonts w:ascii="宋体" w:hAnsi="宋体" w:cs="宋体"/>
          <w:color w:val="auto"/>
          <w:kern w:val="0"/>
          <w:sz w:val="24"/>
          <w:szCs w:val="24"/>
          <w:highlight w:val="none"/>
        </w:rPr>
      </w:pPr>
    </w:p>
    <w:p>
      <w:pPr>
        <w:pStyle w:val="5"/>
        <w:rPr>
          <w:color w:val="auto"/>
          <w:sz w:val="24"/>
          <w:szCs w:val="24"/>
          <w:highlight w:val="none"/>
        </w:rPr>
      </w:pPr>
      <w:bookmarkStart w:id="83" w:name="_Toc528273524"/>
      <w:r>
        <w:rPr>
          <w:rFonts w:hint="eastAsia"/>
          <w:color w:val="auto"/>
          <w:sz w:val="24"/>
          <w:szCs w:val="24"/>
          <w:highlight w:val="none"/>
        </w:rPr>
        <w:t>文档资料检查</w:t>
      </w:r>
      <w:bookmarkEnd w:id="8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文档资料检查</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Cfg02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Arial" w:hAnsi="Arial"/>
                <w:color w:val="auto"/>
                <w:szCs w:val="21"/>
                <w:highlight w:val="none"/>
              </w:rPr>
              <w:t>《中国南方电网有限责任公司电网建设施工作业指导书第6部分：变电站自动化》DLZDH-ZW-03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制造商应提供产品相关的“一书三册”（技术说明书、设计安装手册、测试检修手册、运行操作手册）。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文档内容应齐全、完整。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查阅厂商提供的文档资料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autoSpaceDE w:val="0"/>
        <w:autoSpaceDN w:val="0"/>
        <w:adjustRightInd w:val="0"/>
        <w:jc w:val="left"/>
        <w:rPr>
          <w:rFonts w:ascii="宋体" w:hAnsi="宋体" w:cs="宋体"/>
          <w:color w:val="auto"/>
          <w:kern w:val="0"/>
          <w:sz w:val="24"/>
          <w:szCs w:val="24"/>
          <w:highlight w:val="none"/>
        </w:rPr>
      </w:pPr>
    </w:p>
    <w:p>
      <w:pPr>
        <w:pStyle w:val="5"/>
        <w:rPr>
          <w:color w:val="auto"/>
          <w:sz w:val="24"/>
          <w:szCs w:val="24"/>
          <w:highlight w:val="none"/>
        </w:rPr>
      </w:pPr>
      <w:bookmarkStart w:id="84" w:name="_Toc528273525"/>
      <w:r>
        <w:rPr>
          <w:rFonts w:hint="eastAsia"/>
          <w:color w:val="auto"/>
          <w:sz w:val="24"/>
          <w:szCs w:val="24"/>
          <w:highlight w:val="none"/>
        </w:rPr>
        <w:t>模型文件检查</w:t>
      </w:r>
      <w:bookmarkEnd w:id="8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模型文件检查</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Cfg03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Arial" w:hAnsi="Arial"/>
                <w:color w:val="auto"/>
                <w:szCs w:val="21"/>
                <w:highlight w:val="none"/>
              </w:rPr>
              <w:t>DL/T 860 变电站内通信网络和系统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应具备协议实现一致性陈述（PICS）文件、测试用协议实现额外信息（PIXIT）文件、模型实现一致性说明（MICS）文件。</w:t>
            </w:r>
          </w:p>
          <w:p>
            <w:pPr>
              <w:autoSpaceDE w:val="0"/>
              <w:autoSpaceDN w:val="0"/>
              <w:jc w:val="left"/>
              <w:rPr>
                <w:rFonts w:ascii="宋体" w:hAnsi="宋体"/>
                <w:color w:val="auto"/>
                <w:kern w:val="0"/>
                <w:highlight w:val="none"/>
              </w:rPr>
            </w:pPr>
            <w:r>
              <w:rPr>
                <w:rFonts w:hint="eastAsia" w:ascii="宋体" w:hAnsi="宋体"/>
                <w:color w:val="auto"/>
                <w:kern w:val="0"/>
                <w:highlight w:val="none"/>
              </w:rPr>
              <w:t>智能远动ICD模型、SCL引用应满足DL/T 860标准要求。</w:t>
            </w:r>
          </w:p>
          <w:p>
            <w:pPr>
              <w:autoSpaceDE w:val="0"/>
              <w:autoSpaceDN w:val="0"/>
              <w:jc w:val="left"/>
              <w:rPr>
                <w:rFonts w:ascii="宋体" w:hAnsi="宋体"/>
                <w:color w:val="auto"/>
                <w:kern w:val="0"/>
                <w:highlight w:val="none"/>
              </w:rPr>
            </w:pPr>
            <w:r>
              <w:rPr>
                <w:rFonts w:hint="eastAsia" w:ascii="宋体" w:hAnsi="宋体"/>
                <w:color w:val="auto"/>
                <w:kern w:val="0"/>
                <w:highlight w:val="none"/>
              </w:rPr>
              <w:t>模型在线模型和离线模型应保持一致性。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检查厂商提供的模型文件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autoSpaceDE w:val="0"/>
        <w:autoSpaceDN w:val="0"/>
        <w:adjustRightInd w:val="0"/>
        <w:jc w:val="left"/>
        <w:rPr>
          <w:rFonts w:ascii="宋体" w:hAnsi="宋体" w:cs="宋体"/>
          <w:color w:val="auto"/>
          <w:kern w:val="0"/>
          <w:sz w:val="24"/>
          <w:szCs w:val="24"/>
          <w:highlight w:val="none"/>
        </w:rPr>
      </w:pPr>
    </w:p>
    <w:p>
      <w:pPr>
        <w:pStyle w:val="3"/>
        <w:rPr>
          <w:color w:val="auto"/>
          <w:sz w:val="24"/>
          <w:szCs w:val="24"/>
          <w:highlight w:val="none"/>
        </w:rPr>
      </w:pPr>
      <w:bookmarkStart w:id="85" w:name="_Toc49258167"/>
      <w:r>
        <w:rPr>
          <w:rFonts w:hint="eastAsia"/>
          <w:color w:val="auto"/>
          <w:sz w:val="24"/>
          <w:szCs w:val="24"/>
          <w:highlight w:val="none"/>
        </w:rPr>
        <w:t>送检设备信息检验</w:t>
      </w:r>
      <w:bookmarkEnd w:id="85"/>
    </w:p>
    <w:p>
      <w:pPr>
        <w:pStyle w:val="5"/>
        <w:rPr>
          <w:color w:val="auto"/>
          <w:sz w:val="24"/>
          <w:szCs w:val="24"/>
          <w:highlight w:val="none"/>
        </w:rPr>
      </w:pPr>
      <w:r>
        <w:rPr>
          <w:rFonts w:hint="eastAsia"/>
          <w:color w:val="auto"/>
          <w:sz w:val="24"/>
          <w:szCs w:val="24"/>
          <w:highlight w:val="none"/>
        </w:rPr>
        <w:t>主机硬件检验</w:t>
      </w:r>
    </w:p>
    <w:p>
      <w:pPr>
        <w:pStyle w:val="6"/>
        <w:rPr>
          <w:color w:val="auto"/>
          <w:sz w:val="24"/>
          <w:highlight w:val="none"/>
        </w:rPr>
      </w:pPr>
      <w:r>
        <w:rPr>
          <w:color w:val="auto"/>
          <w:sz w:val="24"/>
          <w:highlight w:val="none"/>
        </w:rPr>
        <w:t>嵌入式主机硬件检验</w:t>
      </w:r>
    </w:p>
    <w:tbl>
      <w:tblPr>
        <w:tblStyle w:val="48"/>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909"/>
        <w:gridCol w:w="970"/>
        <w:gridCol w:w="2719"/>
        <w:gridCol w:w="1667"/>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blHeader/>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序号</w:t>
            </w:r>
          </w:p>
        </w:tc>
        <w:tc>
          <w:tcPr>
            <w:tcW w:w="187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highlight w:val="none"/>
              </w:rPr>
              <w:t>基本信息</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制造</w:t>
            </w:r>
            <w:r>
              <w:rPr>
                <w:rFonts w:ascii="Arial" w:hAnsi="Arial"/>
                <w:b/>
                <w:color w:val="auto"/>
                <w:szCs w:val="21"/>
                <w:highlight w:val="none"/>
              </w:rPr>
              <w:t>商</w:t>
            </w:r>
            <w:r>
              <w:rPr>
                <w:rFonts w:hint="eastAsia" w:ascii="Arial" w:hAnsi="Arial"/>
                <w:b/>
                <w:color w:val="auto"/>
                <w:szCs w:val="21"/>
                <w:highlight w:val="none"/>
              </w:rPr>
              <w:t>/供应商</w:t>
            </w: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ascii="Arial" w:hAnsi="Arial"/>
                <w:b/>
                <w:color w:val="auto"/>
                <w:szCs w:val="21"/>
                <w:highlight w:val="none"/>
              </w:rPr>
              <w:t>型号</w:t>
            </w: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ascii="Arial" w:hAnsi="Arial"/>
                <w:b/>
                <w:color w:val="auto"/>
                <w:szCs w:val="21"/>
                <w:highlight w:val="none"/>
              </w:rPr>
              <w:t>是否为新产品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p>
        </w:tc>
        <w:tc>
          <w:tcPr>
            <w:tcW w:w="909" w:type="dxa"/>
            <w:vMerge w:val="restart"/>
            <w:tcBorders>
              <w:top w:val="single" w:color="auto" w:sz="4" w:space="0"/>
              <w:left w:val="single" w:color="auto" w:sz="4" w:space="0"/>
              <w:right w:val="single" w:color="auto" w:sz="4" w:space="0"/>
            </w:tcBorders>
            <w:vAlign w:val="center"/>
          </w:tcPr>
          <w:p>
            <w:pPr>
              <w:jc w:val="center"/>
              <w:rPr>
                <w:rFonts w:ascii="Arial" w:hAnsi="Arial"/>
                <w:color w:val="auto"/>
                <w:highlight w:val="none"/>
              </w:rPr>
            </w:pPr>
            <w:r>
              <w:rPr>
                <w:rFonts w:ascii="Arial" w:hAnsi="Arial"/>
                <w:color w:val="auto"/>
                <w:highlight w:val="none"/>
              </w:rPr>
              <w:t>整机</w:t>
            </w:r>
          </w:p>
          <w:p>
            <w:pPr>
              <w:jc w:val="center"/>
              <w:rPr>
                <w:rFonts w:ascii="Arial" w:hAnsi="Arial"/>
                <w:color w:val="auto"/>
                <w:highlight w:val="none"/>
              </w:rPr>
            </w:pPr>
            <w:r>
              <w:rPr>
                <w:rFonts w:hint="eastAsia" w:ascii="Arial" w:hAnsi="Arial"/>
                <w:color w:val="auto"/>
                <w:highlight w:val="none"/>
              </w:rPr>
              <w:t>部件</w:t>
            </w: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电源</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2</w:t>
            </w:r>
          </w:p>
        </w:tc>
        <w:tc>
          <w:tcPr>
            <w:tcW w:w="909" w:type="dxa"/>
            <w:vMerge w:val="continue"/>
            <w:tcBorders>
              <w:top w:val="single" w:color="auto" w:sz="4" w:space="0"/>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液晶屏</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3</w:t>
            </w:r>
          </w:p>
        </w:tc>
        <w:tc>
          <w:tcPr>
            <w:tcW w:w="909" w:type="dxa"/>
            <w:vMerge w:val="continue"/>
            <w:tcBorders>
              <w:top w:val="single" w:color="auto" w:sz="4" w:space="0"/>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C</w:t>
            </w:r>
            <w:r>
              <w:rPr>
                <w:rFonts w:ascii="Arial" w:hAnsi="Arial"/>
                <w:color w:val="auto"/>
                <w:highlight w:val="none"/>
              </w:rPr>
              <w:t>PU</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4</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内存</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5</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固态</w:t>
            </w:r>
          </w:p>
          <w:p>
            <w:pPr>
              <w:jc w:val="center"/>
              <w:rPr>
                <w:rFonts w:ascii="Arial" w:hAnsi="Arial"/>
                <w:color w:val="auto"/>
                <w:highlight w:val="none"/>
              </w:rPr>
            </w:pPr>
            <w:r>
              <w:rPr>
                <w:rFonts w:hint="eastAsia" w:ascii="Arial" w:hAnsi="Arial"/>
                <w:color w:val="auto"/>
                <w:highlight w:val="none"/>
              </w:rPr>
              <w:t>硬盘</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6</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普通</w:t>
            </w:r>
          </w:p>
          <w:p>
            <w:pPr>
              <w:jc w:val="center"/>
              <w:rPr>
                <w:rFonts w:ascii="Arial" w:hAnsi="Arial"/>
                <w:color w:val="auto"/>
                <w:highlight w:val="none"/>
              </w:rPr>
            </w:pPr>
            <w:r>
              <w:rPr>
                <w:rFonts w:hint="eastAsia" w:ascii="Arial" w:hAnsi="Arial"/>
                <w:color w:val="auto"/>
                <w:highlight w:val="none"/>
              </w:rPr>
              <w:t>硬盘</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7</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主板</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8</w:t>
            </w:r>
          </w:p>
        </w:tc>
        <w:tc>
          <w:tcPr>
            <w:tcW w:w="909" w:type="dxa"/>
            <w:vMerge w:val="continue"/>
            <w:tcBorders>
              <w:left w:val="single" w:color="auto" w:sz="4" w:space="0"/>
              <w:bottom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独显</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9</w:t>
            </w:r>
          </w:p>
        </w:tc>
        <w:tc>
          <w:tcPr>
            <w:tcW w:w="909" w:type="dxa"/>
            <w:vMerge w:val="restart"/>
            <w:tcBorders>
              <w:left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主板</w:t>
            </w:r>
          </w:p>
          <w:p>
            <w:pPr>
              <w:jc w:val="center"/>
              <w:rPr>
                <w:rFonts w:ascii="Arial" w:hAnsi="Arial"/>
                <w:color w:val="auto"/>
                <w:highlight w:val="none"/>
              </w:rPr>
            </w:pPr>
            <w:r>
              <w:rPr>
                <w:rFonts w:ascii="Arial" w:hAnsi="Arial"/>
                <w:color w:val="auto"/>
                <w:highlight w:val="none"/>
              </w:rPr>
              <w:t>元器件</w:t>
            </w: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南桥</w:t>
            </w:r>
          </w:p>
          <w:p>
            <w:pPr>
              <w:jc w:val="center"/>
              <w:rPr>
                <w:rFonts w:ascii="Arial" w:hAnsi="Arial"/>
                <w:color w:val="auto"/>
                <w:highlight w:val="none"/>
              </w:rPr>
            </w:pPr>
            <w:r>
              <w:rPr>
                <w:rFonts w:hint="eastAsia"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0</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北桥</w:t>
            </w:r>
          </w:p>
          <w:p>
            <w:pPr>
              <w:jc w:val="center"/>
              <w:rPr>
                <w:rFonts w:ascii="Arial" w:hAnsi="Arial"/>
                <w:color w:val="auto"/>
                <w:highlight w:val="none"/>
              </w:rPr>
            </w:pPr>
            <w:r>
              <w:rPr>
                <w:rFonts w:hint="eastAsia"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1</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I</w:t>
            </w:r>
            <w:r>
              <w:rPr>
                <w:rFonts w:ascii="Arial" w:hAnsi="Arial"/>
                <w:color w:val="auto"/>
                <w:highlight w:val="none"/>
              </w:rPr>
              <w:t>/O</w:t>
            </w:r>
          </w:p>
          <w:p>
            <w:pPr>
              <w:jc w:val="center"/>
              <w:rPr>
                <w:rFonts w:ascii="Arial" w:hAnsi="Arial"/>
                <w:color w:val="auto"/>
                <w:highlight w:val="none"/>
              </w:rPr>
            </w:pPr>
            <w:r>
              <w:rPr>
                <w:rFonts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2</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B</w:t>
            </w:r>
            <w:r>
              <w:rPr>
                <w:rFonts w:ascii="Arial" w:hAnsi="Arial"/>
                <w:color w:val="auto"/>
                <w:highlight w:val="none"/>
              </w:rPr>
              <w:t>IOS</w:t>
            </w:r>
          </w:p>
          <w:p>
            <w:pPr>
              <w:jc w:val="center"/>
              <w:rPr>
                <w:rFonts w:ascii="Arial" w:hAnsi="Arial"/>
                <w:color w:val="auto"/>
                <w:highlight w:val="none"/>
              </w:rPr>
            </w:pPr>
            <w:r>
              <w:rPr>
                <w:rFonts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3</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RTC</w:t>
            </w:r>
          </w:p>
          <w:p>
            <w:pPr>
              <w:jc w:val="center"/>
              <w:rPr>
                <w:rFonts w:ascii="Arial" w:hAnsi="Arial"/>
                <w:color w:val="auto"/>
                <w:highlight w:val="none"/>
              </w:rPr>
            </w:pPr>
            <w:r>
              <w:rPr>
                <w:rFonts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4</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时钟发生器</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5</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温控</w:t>
            </w:r>
          </w:p>
          <w:p>
            <w:pPr>
              <w:jc w:val="center"/>
              <w:rPr>
                <w:rFonts w:ascii="Arial" w:hAnsi="Arial"/>
                <w:color w:val="auto"/>
                <w:highlight w:val="none"/>
              </w:rPr>
            </w:pPr>
            <w:r>
              <w:rPr>
                <w:rFonts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6</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集显</w:t>
            </w:r>
          </w:p>
          <w:p>
            <w:pPr>
              <w:jc w:val="center"/>
              <w:rPr>
                <w:rFonts w:ascii="Arial" w:hAnsi="Arial"/>
                <w:color w:val="auto"/>
                <w:highlight w:val="none"/>
              </w:rPr>
            </w:pPr>
            <w:r>
              <w:rPr>
                <w:rFonts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7</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网卡</w:t>
            </w:r>
          </w:p>
          <w:p>
            <w:pPr>
              <w:jc w:val="center"/>
              <w:rPr>
                <w:rFonts w:ascii="Arial" w:hAnsi="Arial"/>
                <w:color w:val="auto"/>
                <w:highlight w:val="none"/>
              </w:rPr>
            </w:pPr>
            <w:r>
              <w:rPr>
                <w:rFonts w:hint="eastAsia"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8</w:t>
            </w:r>
          </w:p>
        </w:tc>
        <w:tc>
          <w:tcPr>
            <w:tcW w:w="909" w:type="dxa"/>
            <w:vMerge w:val="continue"/>
            <w:tcBorders>
              <w:left w:val="single" w:color="auto" w:sz="4" w:space="0"/>
              <w:bottom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串口</w:t>
            </w:r>
          </w:p>
          <w:p>
            <w:pPr>
              <w:jc w:val="center"/>
              <w:rPr>
                <w:rFonts w:ascii="Arial" w:hAnsi="Arial"/>
                <w:color w:val="auto"/>
                <w:highlight w:val="none"/>
              </w:rPr>
            </w:pPr>
            <w:r>
              <w:rPr>
                <w:rFonts w:hint="eastAsia"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bl>
    <w:p>
      <w:pPr>
        <w:rPr>
          <w:color w:val="auto"/>
          <w:highlight w:val="none"/>
        </w:rPr>
      </w:pPr>
    </w:p>
    <w:p>
      <w:pPr>
        <w:pStyle w:val="6"/>
        <w:rPr>
          <w:color w:val="auto"/>
          <w:sz w:val="24"/>
          <w:highlight w:val="none"/>
        </w:rPr>
      </w:pPr>
      <w:r>
        <w:rPr>
          <w:color w:val="auto"/>
          <w:sz w:val="24"/>
          <w:highlight w:val="none"/>
        </w:rPr>
        <w:t>插件式主机硬件检验</w:t>
      </w:r>
    </w:p>
    <w:tbl>
      <w:tblPr>
        <w:tblStyle w:val="48"/>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909"/>
        <w:gridCol w:w="970"/>
        <w:gridCol w:w="2719"/>
        <w:gridCol w:w="1667"/>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blHeader/>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序号</w:t>
            </w:r>
          </w:p>
        </w:tc>
        <w:tc>
          <w:tcPr>
            <w:tcW w:w="187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highlight w:val="none"/>
              </w:rPr>
              <w:t>基本信息</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制造</w:t>
            </w:r>
            <w:r>
              <w:rPr>
                <w:rFonts w:ascii="Arial" w:hAnsi="Arial"/>
                <w:b/>
                <w:color w:val="auto"/>
                <w:szCs w:val="21"/>
                <w:highlight w:val="none"/>
              </w:rPr>
              <w:t>商</w:t>
            </w:r>
            <w:r>
              <w:rPr>
                <w:rFonts w:hint="eastAsia" w:ascii="Arial" w:hAnsi="Arial"/>
                <w:b/>
                <w:color w:val="auto"/>
                <w:szCs w:val="21"/>
                <w:highlight w:val="none"/>
              </w:rPr>
              <w:t>/供应商</w:t>
            </w: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ascii="Arial" w:hAnsi="Arial"/>
                <w:b/>
                <w:color w:val="auto"/>
                <w:szCs w:val="21"/>
                <w:highlight w:val="none"/>
              </w:rPr>
              <w:t>型号</w:t>
            </w: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ascii="Arial" w:hAnsi="Arial"/>
                <w:b/>
                <w:color w:val="auto"/>
                <w:szCs w:val="21"/>
                <w:highlight w:val="none"/>
              </w:rPr>
              <w:t>是否为新产品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p>
        </w:tc>
        <w:tc>
          <w:tcPr>
            <w:tcW w:w="909" w:type="dxa"/>
            <w:vMerge w:val="restart"/>
            <w:tcBorders>
              <w:top w:val="single" w:color="auto" w:sz="4" w:space="0"/>
              <w:left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电源</w:t>
            </w:r>
          </w:p>
          <w:p>
            <w:pPr>
              <w:jc w:val="center"/>
              <w:rPr>
                <w:rFonts w:ascii="Arial" w:hAnsi="Arial"/>
                <w:color w:val="auto"/>
                <w:highlight w:val="none"/>
              </w:rPr>
            </w:pPr>
            <w:r>
              <w:rPr>
                <w:rFonts w:ascii="Arial" w:hAnsi="Arial"/>
                <w:color w:val="auto"/>
                <w:highlight w:val="none"/>
              </w:rPr>
              <w:t>插件</w:t>
            </w: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变压器</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2</w:t>
            </w:r>
          </w:p>
        </w:tc>
        <w:tc>
          <w:tcPr>
            <w:tcW w:w="909" w:type="dxa"/>
            <w:vMerge w:val="continue"/>
            <w:tcBorders>
              <w:top w:val="single" w:color="auto" w:sz="4" w:space="0"/>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稳压</w:t>
            </w:r>
          </w:p>
          <w:p>
            <w:pPr>
              <w:jc w:val="center"/>
              <w:rPr>
                <w:color w:val="auto"/>
                <w:highlight w:val="none"/>
              </w:rPr>
            </w:pPr>
            <w:r>
              <w:rPr>
                <w:rFonts w:hint="eastAsia"/>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3</w:t>
            </w:r>
          </w:p>
        </w:tc>
        <w:tc>
          <w:tcPr>
            <w:tcW w:w="909" w:type="dxa"/>
            <w:vMerge w:val="continue"/>
            <w:tcBorders>
              <w:top w:val="single" w:color="auto" w:sz="4" w:space="0"/>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滤波电容/芯片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4</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5</w:t>
            </w:r>
          </w:p>
        </w:tc>
        <w:tc>
          <w:tcPr>
            <w:tcW w:w="909" w:type="dxa"/>
            <w:vMerge w:val="restart"/>
            <w:tcBorders>
              <w:top w:val="single" w:color="auto" w:sz="4" w:space="0"/>
              <w:left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C</w:t>
            </w:r>
            <w:r>
              <w:rPr>
                <w:rFonts w:ascii="Arial" w:hAnsi="Arial"/>
                <w:color w:val="auto"/>
                <w:highlight w:val="none"/>
              </w:rPr>
              <w:t>PU插件</w:t>
            </w: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C</w:t>
            </w:r>
            <w:r>
              <w:rPr>
                <w:color w:val="auto"/>
                <w:highlight w:val="none"/>
              </w:rPr>
              <w:t>PU</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6</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color w:val="auto"/>
                <w:highlight w:val="none"/>
              </w:rPr>
              <w:t>内存控制器</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7</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color w:val="auto"/>
                <w:highlight w:val="none"/>
              </w:rPr>
              <w:t>晶振</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8</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看门狗</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9</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存储</w:t>
            </w:r>
          </w:p>
          <w:p>
            <w:pPr>
              <w:jc w:val="center"/>
              <w:rPr>
                <w:rFonts w:ascii="Arial" w:hAnsi="Arial"/>
                <w:color w:val="auto"/>
                <w:highlight w:val="none"/>
              </w:rPr>
            </w:pPr>
            <w:r>
              <w:rPr>
                <w:rFonts w:ascii="Arial" w:hAnsi="Arial"/>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0</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highlight w:val="none"/>
              </w:rPr>
            </w:pP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1</w:t>
            </w:r>
          </w:p>
        </w:tc>
        <w:tc>
          <w:tcPr>
            <w:tcW w:w="909" w:type="dxa"/>
            <w:vMerge w:val="restart"/>
            <w:tcBorders>
              <w:left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开入开出插件</w:t>
            </w: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F</w:t>
            </w:r>
            <w:r>
              <w:rPr>
                <w:color w:val="auto"/>
                <w:highlight w:val="none"/>
              </w:rPr>
              <w:t>PGA</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2</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光电</w:t>
            </w:r>
          </w:p>
          <w:p>
            <w:pPr>
              <w:jc w:val="center"/>
              <w:rPr>
                <w:color w:val="auto"/>
                <w:highlight w:val="none"/>
              </w:rPr>
            </w:pPr>
            <w:r>
              <w:rPr>
                <w:rFonts w:hint="eastAsia"/>
                <w:color w:val="auto"/>
                <w:highlight w:val="none"/>
              </w:rPr>
              <w:t>耦合</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3</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继电器</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4</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5</w:t>
            </w:r>
          </w:p>
        </w:tc>
        <w:tc>
          <w:tcPr>
            <w:tcW w:w="909" w:type="dxa"/>
            <w:vMerge w:val="restart"/>
            <w:tcBorders>
              <w:left w:val="single" w:color="auto" w:sz="4" w:space="0"/>
              <w:right w:val="single" w:color="auto" w:sz="4" w:space="0"/>
            </w:tcBorders>
            <w:vAlign w:val="center"/>
          </w:tcPr>
          <w:p>
            <w:pPr>
              <w:jc w:val="center"/>
              <w:rPr>
                <w:rFonts w:ascii="Arial" w:hAnsi="Arial"/>
                <w:color w:val="auto"/>
                <w:highlight w:val="none"/>
              </w:rPr>
            </w:pPr>
            <w:r>
              <w:rPr>
                <w:rFonts w:hint="eastAsia" w:ascii="Arial" w:hAnsi="Arial"/>
                <w:color w:val="auto"/>
                <w:highlight w:val="none"/>
              </w:rPr>
              <w:t>通信</w:t>
            </w:r>
          </w:p>
          <w:p>
            <w:pPr>
              <w:jc w:val="center"/>
              <w:rPr>
                <w:rFonts w:ascii="Arial" w:hAnsi="Arial"/>
                <w:color w:val="auto"/>
                <w:highlight w:val="none"/>
              </w:rPr>
            </w:pPr>
            <w:r>
              <w:rPr>
                <w:rFonts w:hint="eastAsia" w:ascii="Arial" w:hAnsi="Arial"/>
                <w:color w:val="auto"/>
                <w:highlight w:val="none"/>
              </w:rPr>
              <w:t>插件</w:t>
            </w: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网卡</w:t>
            </w:r>
          </w:p>
          <w:p>
            <w:pPr>
              <w:jc w:val="center"/>
              <w:rPr>
                <w:color w:val="auto"/>
                <w:highlight w:val="none"/>
              </w:rPr>
            </w:pPr>
            <w:r>
              <w:rPr>
                <w:rFonts w:hint="eastAsia"/>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6</w:t>
            </w:r>
          </w:p>
        </w:tc>
        <w:tc>
          <w:tcPr>
            <w:tcW w:w="909" w:type="dxa"/>
            <w:vMerge w:val="continue"/>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rFonts w:hint="eastAsia"/>
                <w:color w:val="auto"/>
                <w:highlight w:val="none"/>
              </w:rPr>
              <w:t>串口</w:t>
            </w:r>
          </w:p>
          <w:p>
            <w:pPr>
              <w:jc w:val="center"/>
              <w:rPr>
                <w:color w:val="auto"/>
                <w:highlight w:val="none"/>
              </w:rPr>
            </w:pPr>
            <w:r>
              <w:rPr>
                <w:color w:val="auto"/>
                <w:highlight w:val="none"/>
              </w:rPr>
              <w:t>芯片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r>
              <w:rPr>
                <w:rFonts w:ascii="Arial" w:hAnsi="Arial"/>
                <w:color w:val="auto"/>
                <w:szCs w:val="21"/>
                <w:highlight w:val="none"/>
              </w:rPr>
              <w:t>7</w:t>
            </w:r>
          </w:p>
        </w:tc>
        <w:tc>
          <w:tcPr>
            <w:tcW w:w="909" w:type="dxa"/>
            <w:tcBorders>
              <w:left w:val="single" w:color="auto" w:sz="4" w:space="0"/>
              <w:right w:val="single" w:color="auto" w:sz="4" w:space="0"/>
            </w:tcBorders>
            <w:vAlign w:val="center"/>
          </w:tcPr>
          <w:p>
            <w:pPr>
              <w:jc w:val="center"/>
              <w:rPr>
                <w:rFonts w:ascii="Arial" w:hAnsi="Arial"/>
                <w:color w:val="auto"/>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bl>
    <w:p>
      <w:pPr>
        <w:autoSpaceDE w:val="0"/>
        <w:autoSpaceDN w:val="0"/>
        <w:adjustRightInd w:val="0"/>
        <w:jc w:val="left"/>
        <w:rPr>
          <w:rFonts w:ascii="宋体" w:hAnsi="宋体" w:cs="宋体"/>
          <w:color w:val="auto"/>
          <w:kern w:val="0"/>
          <w:sz w:val="24"/>
          <w:szCs w:val="24"/>
          <w:highlight w:val="none"/>
        </w:rPr>
      </w:pPr>
    </w:p>
    <w:p>
      <w:pPr>
        <w:pStyle w:val="5"/>
        <w:rPr>
          <w:color w:val="auto"/>
          <w:sz w:val="24"/>
          <w:szCs w:val="24"/>
          <w:highlight w:val="none"/>
        </w:rPr>
      </w:pPr>
      <w:r>
        <w:rPr>
          <w:rFonts w:hint="eastAsia"/>
          <w:color w:val="auto"/>
          <w:sz w:val="24"/>
          <w:szCs w:val="24"/>
          <w:highlight w:val="none"/>
        </w:rPr>
        <w:t>外设检验</w:t>
      </w:r>
    </w:p>
    <w:tbl>
      <w:tblPr>
        <w:tblStyle w:val="48"/>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879"/>
        <w:gridCol w:w="2719"/>
        <w:gridCol w:w="1667"/>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blHeader/>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序号</w:t>
            </w:r>
          </w:p>
        </w:tc>
        <w:tc>
          <w:tcPr>
            <w:tcW w:w="187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highlight w:val="none"/>
              </w:rPr>
              <w:t>基本信息</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制造</w:t>
            </w:r>
            <w:r>
              <w:rPr>
                <w:rFonts w:ascii="Arial" w:hAnsi="Arial"/>
                <w:b/>
                <w:color w:val="auto"/>
                <w:szCs w:val="21"/>
                <w:highlight w:val="none"/>
              </w:rPr>
              <w:t>商</w:t>
            </w:r>
            <w:r>
              <w:rPr>
                <w:rFonts w:hint="eastAsia" w:ascii="Arial" w:hAnsi="Arial"/>
                <w:b/>
                <w:color w:val="auto"/>
                <w:szCs w:val="21"/>
                <w:highlight w:val="none"/>
              </w:rPr>
              <w:t>/供应商</w:t>
            </w: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ascii="Arial" w:hAnsi="Arial"/>
                <w:b/>
                <w:color w:val="auto"/>
                <w:szCs w:val="21"/>
                <w:highlight w:val="none"/>
              </w:rPr>
              <w:t>型号</w:t>
            </w: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ascii="Arial" w:hAnsi="Arial"/>
                <w:b/>
                <w:color w:val="auto"/>
                <w:szCs w:val="21"/>
                <w:highlight w:val="none"/>
              </w:rPr>
              <w:t>是否为新产品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1</w:t>
            </w:r>
          </w:p>
        </w:tc>
        <w:tc>
          <w:tcPr>
            <w:tcW w:w="1879" w:type="dxa"/>
            <w:tcBorders>
              <w:left w:val="single" w:color="auto" w:sz="4" w:space="0"/>
              <w:right w:val="single" w:color="auto" w:sz="4" w:space="0"/>
            </w:tcBorders>
            <w:vAlign w:val="center"/>
          </w:tcPr>
          <w:p>
            <w:pPr>
              <w:jc w:val="center"/>
              <w:rPr>
                <w:color w:val="auto"/>
                <w:highlight w:val="none"/>
              </w:rPr>
            </w:pPr>
            <w:r>
              <w:rPr>
                <w:rFonts w:hint="eastAsia"/>
                <w:color w:val="auto"/>
                <w:highlight w:val="none"/>
              </w:rPr>
              <w:t>键盘</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2</w:t>
            </w:r>
          </w:p>
        </w:tc>
        <w:tc>
          <w:tcPr>
            <w:tcW w:w="1879" w:type="dxa"/>
            <w:tcBorders>
              <w:left w:val="single" w:color="auto" w:sz="4" w:space="0"/>
              <w:right w:val="single" w:color="auto" w:sz="4" w:space="0"/>
            </w:tcBorders>
            <w:vAlign w:val="center"/>
          </w:tcPr>
          <w:p>
            <w:pPr>
              <w:jc w:val="center"/>
              <w:rPr>
                <w:color w:val="auto"/>
                <w:highlight w:val="none"/>
              </w:rPr>
            </w:pPr>
            <w:r>
              <w:rPr>
                <w:rFonts w:hint="eastAsia"/>
                <w:color w:val="auto"/>
                <w:highlight w:val="none"/>
              </w:rPr>
              <w:t>鼠标</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8"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r>
              <w:rPr>
                <w:rFonts w:hint="eastAsia" w:ascii="Arial" w:hAnsi="Arial"/>
                <w:color w:val="auto"/>
                <w:szCs w:val="21"/>
                <w:highlight w:val="none"/>
              </w:rPr>
              <w:t>3</w:t>
            </w:r>
          </w:p>
        </w:tc>
        <w:tc>
          <w:tcPr>
            <w:tcW w:w="1879" w:type="dxa"/>
            <w:tcBorders>
              <w:left w:val="single" w:color="auto" w:sz="4" w:space="0"/>
              <w:right w:val="single" w:color="auto" w:sz="4" w:space="0"/>
            </w:tcBorders>
            <w:vAlign w:val="center"/>
          </w:tcPr>
          <w:p>
            <w:pPr>
              <w:jc w:val="center"/>
              <w:rPr>
                <w:color w:val="auto"/>
                <w:highlight w:val="none"/>
              </w:rPr>
            </w:pPr>
            <w:r>
              <w:rPr>
                <w:rFonts w:hint="eastAsia"/>
                <w:color w:val="auto"/>
                <w:highlight w:val="none"/>
              </w:rPr>
              <w:t>显示器</w:t>
            </w:r>
          </w:p>
        </w:tc>
        <w:tc>
          <w:tcPr>
            <w:tcW w:w="271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c>
          <w:tcPr>
            <w:tcW w:w="1817"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olor w:val="auto"/>
                <w:szCs w:val="21"/>
                <w:highlight w:val="none"/>
              </w:rPr>
            </w:pPr>
          </w:p>
        </w:tc>
      </w:tr>
    </w:tbl>
    <w:p>
      <w:pPr>
        <w:autoSpaceDE w:val="0"/>
        <w:autoSpaceDN w:val="0"/>
        <w:adjustRightInd w:val="0"/>
        <w:jc w:val="left"/>
        <w:rPr>
          <w:rFonts w:ascii="宋体" w:hAnsi="宋体" w:cs="宋体"/>
          <w:color w:val="auto"/>
          <w:kern w:val="0"/>
          <w:sz w:val="24"/>
          <w:szCs w:val="24"/>
          <w:highlight w:val="none"/>
        </w:rPr>
      </w:pPr>
    </w:p>
    <w:p>
      <w:pPr>
        <w:pStyle w:val="5"/>
        <w:rPr>
          <w:color w:val="auto"/>
          <w:sz w:val="24"/>
          <w:szCs w:val="24"/>
          <w:highlight w:val="none"/>
        </w:rPr>
      </w:pPr>
      <w:r>
        <w:rPr>
          <w:rFonts w:hint="eastAsia"/>
          <w:color w:val="auto"/>
          <w:sz w:val="24"/>
          <w:szCs w:val="24"/>
          <w:highlight w:val="none"/>
        </w:rPr>
        <w:t>操作系统检验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操作系统检验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M</w:t>
            </w:r>
            <w:r>
              <w:rPr>
                <w:rFonts w:ascii="宋体" w:hAnsi="宋体"/>
                <w:color w:val="auto"/>
                <w:sz w:val="22"/>
                <w:szCs w:val="22"/>
                <w:highlight w:val="none"/>
              </w:rPr>
              <w:t>ic</w:t>
            </w:r>
            <w:r>
              <w:rPr>
                <w:rFonts w:hint="eastAsia" w:ascii="宋体" w:hAnsi="宋体"/>
                <w:color w:val="auto"/>
                <w:sz w:val="22"/>
                <w:szCs w:val="22"/>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25645-2010 信息技术 中文Linux服务器操作系统技术要求</w:t>
            </w:r>
          </w:p>
          <w:p>
            <w:pPr>
              <w:rPr>
                <w:rFonts w:ascii="宋体" w:hAnsi="宋体"/>
                <w:color w:val="auto"/>
                <w:highlight w:val="none"/>
              </w:rPr>
            </w:pPr>
            <w:r>
              <w:rPr>
                <w:rFonts w:hint="eastAsia" w:ascii="宋体" w:hAnsi="宋体"/>
                <w:color w:val="auto"/>
                <w:highlight w:val="none"/>
              </w:rPr>
              <w:t>GB/T 25655-2010 信息技术 中文Linux桌面操作系统技术要求</w:t>
            </w:r>
          </w:p>
          <w:p>
            <w:pPr>
              <w:rPr>
                <w:rFonts w:ascii="宋体" w:hAnsi="宋体"/>
                <w:color w:val="auto"/>
                <w:highlight w:val="none"/>
              </w:rPr>
            </w:pPr>
            <w:r>
              <w:rPr>
                <w:rFonts w:hint="eastAsia" w:ascii="宋体" w:hAnsi="宋体"/>
                <w:color w:val="auto"/>
                <w:highlight w:val="none"/>
              </w:rPr>
              <w:t>变电站监控系统安全操作系统技术规范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.应采用</w:t>
            </w:r>
            <w:r>
              <w:rPr>
                <w:rFonts w:hint="eastAsia" w:ascii="宋体" w:hAnsi="宋体"/>
                <w:color w:val="auto"/>
                <w:kern w:val="0"/>
                <w:highlight w:val="none"/>
              </w:rPr>
              <w:t>安全</w:t>
            </w:r>
            <w:r>
              <w:rPr>
                <w:rFonts w:ascii="宋体" w:hAnsi="宋体"/>
                <w:color w:val="auto"/>
                <w:kern w:val="0"/>
                <w:highlight w:val="none"/>
              </w:rPr>
              <w:t>操作系统。</w:t>
            </w:r>
          </w:p>
          <w:p>
            <w:pPr>
              <w:autoSpaceDE w:val="0"/>
              <w:autoSpaceDN w:val="0"/>
              <w:jc w:val="left"/>
              <w:rPr>
                <w:rFonts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系统库和应用安装要求：应支持POSIX接口标准，系统库应符合最小化安全要求，并支持应用软件的稳定运行，满足《变电站监控系统安全操作系统技术规范》表A.1和表A.2的安装要求；应用软件的安装应符合最小化安装要求，所安装应用软件应支持运行环境下智能远动机应用软件的安全稳定运行，满足《变电站监控系统安全操作系统技术规范》表A.3安装要求。</w:t>
            </w:r>
          </w:p>
          <w:p>
            <w:pPr>
              <w:autoSpaceDE w:val="0"/>
              <w:autoSpaceDN w:val="0"/>
              <w:jc w:val="left"/>
              <w:rPr>
                <w:rFonts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rPr>
              <w:t>服务安装要求：</w:t>
            </w:r>
          </w:p>
          <w:p>
            <w:pPr>
              <w:autoSpaceDE w:val="0"/>
              <w:autoSpaceDN w:val="0"/>
              <w:jc w:val="left"/>
              <w:rPr>
                <w:rFonts w:ascii="宋体" w:hAnsi="宋体"/>
                <w:color w:val="auto"/>
                <w:kern w:val="0"/>
                <w:highlight w:val="none"/>
              </w:rPr>
            </w:pPr>
            <w:r>
              <w:rPr>
                <w:rFonts w:hint="eastAsia" w:ascii="宋体" w:hAnsi="宋体"/>
                <w:color w:val="auto"/>
                <w:kern w:val="0"/>
                <w:highlight w:val="none"/>
              </w:rPr>
              <w:t>a）服务的安装应符合最小化安装要求，支持操作系统和智能远动机应用软件运行的核心服务应处于默认开启状态；</w:t>
            </w:r>
          </w:p>
          <w:p>
            <w:pPr>
              <w:autoSpaceDE w:val="0"/>
              <w:autoSpaceDN w:val="0"/>
              <w:jc w:val="left"/>
              <w:rPr>
                <w:rFonts w:ascii="宋体" w:hAnsi="宋体"/>
                <w:color w:val="auto"/>
                <w:kern w:val="0"/>
                <w:highlight w:val="none"/>
              </w:rPr>
            </w:pPr>
            <w:r>
              <w:rPr>
                <w:rFonts w:ascii="宋体" w:hAnsi="宋体"/>
                <w:color w:val="auto"/>
                <w:kern w:val="0"/>
                <w:highlight w:val="none"/>
              </w:rPr>
              <w:t>b）</w:t>
            </w:r>
            <w:r>
              <w:rPr>
                <w:rFonts w:hint="eastAsia" w:ascii="宋体" w:hAnsi="宋体"/>
                <w:color w:val="auto"/>
                <w:kern w:val="0"/>
                <w:highlight w:val="none"/>
              </w:rPr>
              <w:t>不应安装与智能远动机应用软件运行无关的服务，满足《变电站监控系统安全操作系统技术规范》表A.4安装要求。</w:t>
            </w:r>
          </w:p>
          <w:p>
            <w:pPr>
              <w:autoSpaceDE w:val="0"/>
              <w:autoSpaceDN w:val="0"/>
              <w:jc w:val="left"/>
              <w:rPr>
                <w:rFonts w:ascii="宋体" w:hAnsi="宋体"/>
                <w:color w:val="auto"/>
                <w:kern w:val="0"/>
                <w:highlight w:val="none"/>
              </w:rPr>
            </w:pPr>
            <w:r>
              <w:rPr>
                <w:rFonts w:ascii="宋体" w:hAnsi="宋体"/>
                <w:color w:val="auto"/>
                <w:kern w:val="0"/>
                <w:highlight w:val="none"/>
              </w:rPr>
              <w:t>c）</w:t>
            </w:r>
            <w:r>
              <w:rPr>
                <w:rFonts w:hint="eastAsia" w:ascii="宋体" w:hAnsi="宋体"/>
                <w:color w:val="auto"/>
                <w:kern w:val="0"/>
                <w:highlight w:val="none"/>
              </w:rPr>
              <w:t>应支持服务的在线启停，且服务启停不应影响智能远动机应用软件的稳定运行。</w:t>
            </w:r>
          </w:p>
          <w:p>
            <w:pPr>
              <w:autoSpaceDE w:val="0"/>
              <w:autoSpaceDN w:val="0"/>
              <w:jc w:val="left"/>
              <w:rPr>
                <w:rFonts w:ascii="宋体" w:hAnsi="宋体"/>
                <w:color w:val="auto"/>
                <w:kern w:val="0"/>
                <w:highlight w:val="none"/>
              </w:rPr>
            </w:pPr>
            <w:r>
              <w:rPr>
                <w:rFonts w:hint="eastAsia" w:ascii="宋体" w:hAnsi="宋体"/>
                <w:color w:val="auto"/>
                <w:kern w:val="0"/>
                <w:highlight w:val="none"/>
              </w:rPr>
              <w:t>4</w:t>
            </w:r>
            <w:r>
              <w:rPr>
                <w:rFonts w:ascii="宋体" w:hAnsi="宋体"/>
                <w:color w:val="auto"/>
                <w:kern w:val="0"/>
                <w:highlight w:val="none"/>
              </w:rPr>
              <w:t>.</w:t>
            </w:r>
            <w:r>
              <w:rPr>
                <w:rFonts w:hint="eastAsia" w:ascii="宋体" w:hAnsi="宋体"/>
                <w:color w:val="auto"/>
                <w:kern w:val="0"/>
                <w:highlight w:val="none"/>
              </w:rPr>
              <w:t>软件包检查：检查软件包，确保提供的软件包修复了已知的安全漏洞，包括但不限于openssl、ntp、bash等软件包。</w:t>
            </w:r>
          </w:p>
          <w:p>
            <w:pPr>
              <w:autoSpaceDE w:val="0"/>
              <w:autoSpaceDN w:val="0"/>
              <w:jc w:val="left"/>
              <w:rPr>
                <w:rFonts w:ascii="宋体" w:hAnsi="宋体"/>
                <w:color w:val="auto"/>
                <w:kern w:val="0"/>
                <w:highlight w:val="none"/>
              </w:rPr>
            </w:pPr>
            <w:r>
              <w:rPr>
                <w:rFonts w:hint="eastAsia" w:ascii="宋体" w:hAnsi="宋体"/>
                <w:color w:val="auto"/>
                <w:kern w:val="0"/>
                <w:highlight w:val="none"/>
              </w:rPr>
              <w:t>5</w:t>
            </w:r>
            <w:r>
              <w:rPr>
                <w:rFonts w:ascii="宋体" w:hAnsi="宋体"/>
                <w:color w:val="auto"/>
                <w:kern w:val="0"/>
                <w:highlight w:val="none"/>
              </w:rPr>
              <w:t>.</w:t>
            </w:r>
            <w:r>
              <w:rPr>
                <w:rFonts w:hint="eastAsia" w:ascii="宋体" w:hAnsi="宋体"/>
                <w:color w:val="auto"/>
                <w:kern w:val="0"/>
                <w:highlight w:val="none"/>
              </w:rPr>
              <w:t>内核版本检查：检查操作系统内核版本，应不低于2.6.32。</w:t>
            </w:r>
          </w:p>
          <w:p>
            <w:pPr>
              <w:autoSpaceDE w:val="0"/>
              <w:autoSpaceDN w:val="0"/>
              <w:jc w:val="left"/>
              <w:rPr>
                <w:rFonts w:ascii="宋体" w:hAnsi="宋体"/>
                <w:color w:val="auto"/>
                <w:kern w:val="0"/>
                <w:highlight w:val="none"/>
              </w:rPr>
            </w:pPr>
            <w:r>
              <w:rPr>
                <w:rFonts w:hint="eastAsia" w:ascii="宋体" w:hAnsi="宋体"/>
                <w:color w:val="auto"/>
                <w:kern w:val="0"/>
                <w:highlight w:val="none"/>
              </w:rPr>
              <w:t>6</w:t>
            </w:r>
            <w:r>
              <w:rPr>
                <w:rFonts w:ascii="宋体" w:hAnsi="宋体"/>
                <w:color w:val="auto"/>
                <w:kern w:val="0"/>
                <w:highlight w:val="none"/>
              </w:rPr>
              <w:t>.</w:t>
            </w:r>
            <w:r>
              <w:rPr>
                <w:rFonts w:hint="eastAsia" w:ascii="宋体" w:hAnsi="宋体"/>
                <w:color w:val="auto"/>
                <w:kern w:val="0"/>
                <w:highlight w:val="none"/>
              </w:rPr>
              <w:t>主机名检查：操作系统应设置有主机名，主机名设置后应被锁定。主机名仅可由系统管理员进行修改，修改内容应写入操作日志。</w:t>
            </w:r>
          </w:p>
          <w:p>
            <w:pPr>
              <w:autoSpaceDE w:val="0"/>
              <w:autoSpaceDN w:val="0"/>
              <w:jc w:val="left"/>
              <w:rPr>
                <w:rFonts w:ascii="宋体" w:hAnsi="宋体"/>
                <w:color w:val="auto"/>
                <w:kern w:val="0"/>
                <w:highlight w:val="none"/>
              </w:rPr>
            </w:pPr>
            <w:r>
              <w:rPr>
                <w:rFonts w:ascii="宋体" w:hAnsi="宋体"/>
                <w:color w:val="auto"/>
                <w:kern w:val="0"/>
                <w:highlight w:val="none"/>
              </w:rPr>
              <w:t>7.</w:t>
            </w:r>
            <w:r>
              <w:rPr>
                <w:rFonts w:hint="eastAsia" w:ascii="宋体" w:hAnsi="宋体"/>
                <w:color w:val="auto"/>
                <w:kern w:val="0"/>
                <w:highlight w:val="none"/>
              </w:rPr>
              <w:t>桌面设置检查：操作系统登录后应自动弹出应用主界面。桌面不应开设文件夹选项。在桌面上单击鼠标右键应只显示终端选项。桌面设置功能应锁定，防止用户修改。</w:t>
            </w:r>
          </w:p>
          <w:p>
            <w:pPr>
              <w:autoSpaceDE w:val="0"/>
              <w:autoSpaceDN w:val="0"/>
              <w:jc w:val="left"/>
              <w:rPr>
                <w:rFonts w:ascii="宋体" w:hAnsi="宋体"/>
                <w:color w:val="auto"/>
                <w:kern w:val="0"/>
                <w:highlight w:val="none"/>
              </w:rPr>
            </w:pPr>
            <w:r>
              <w:rPr>
                <w:rFonts w:ascii="宋体" w:hAnsi="宋体"/>
                <w:color w:val="auto"/>
                <w:kern w:val="0"/>
                <w:highlight w:val="none"/>
              </w:rPr>
              <w:t>8.</w:t>
            </w:r>
            <w:r>
              <w:rPr>
                <w:rFonts w:hint="eastAsia" w:ascii="宋体" w:hAnsi="宋体"/>
                <w:color w:val="auto"/>
                <w:kern w:val="0"/>
                <w:highlight w:val="none"/>
              </w:rPr>
              <w:t>防火墙设置检查：操作系统应支持防火墙服务，支持配置基于目的IP地址、端口、数据流向的网络访问控制策略。</w:t>
            </w:r>
          </w:p>
          <w:p>
            <w:pPr>
              <w:autoSpaceDE w:val="0"/>
              <w:autoSpaceDN w:val="0"/>
              <w:jc w:val="left"/>
              <w:rPr>
                <w:rFonts w:ascii="宋体" w:hAnsi="宋体"/>
                <w:color w:val="auto"/>
                <w:kern w:val="0"/>
                <w:highlight w:val="none"/>
              </w:rPr>
            </w:pPr>
            <w:r>
              <w:rPr>
                <w:rFonts w:hint="eastAsia" w:ascii="宋体" w:hAnsi="宋体"/>
                <w:color w:val="auto"/>
                <w:kern w:val="0"/>
                <w:highlight w:val="none"/>
              </w:rPr>
              <w:t>9</w:t>
            </w:r>
            <w:r>
              <w:rPr>
                <w:rFonts w:ascii="宋体" w:hAnsi="宋体"/>
                <w:color w:val="auto"/>
                <w:kern w:val="0"/>
                <w:highlight w:val="none"/>
              </w:rPr>
              <w:t>.</w:t>
            </w:r>
            <w:r>
              <w:rPr>
                <w:rFonts w:hint="eastAsia" w:ascii="宋体" w:hAnsi="宋体"/>
                <w:color w:val="auto"/>
                <w:kern w:val="0"/>
                <w:highlight w:val="none"/>
              </w:rPr>
              <w:t>网络管理策略检查：</w:t>
            </w:r>
          </w:p>
          <w:p>
            <w:pPr>
              <w:autoSpaceDE w:val="0"/>
              <w:autoSpaceDN w:val="0"/>
              <w:jc w:val="left"/>
              <w:rPr>
                <w:rFonts w:ascii="宋体" w:hAnsi="宋体"/>
                <w:color w:val="auto"/>
                <w:kern w:val="0"/>
                <w:highlight w:val="none"/>
              </w:rPr>
            </w:pPr>
            <w:r>
              <w:rPr>
                <w:rFonts w:hint="eastAsia" w:ascii="宋体" w:hAnsi="宋体"/>
                <w:color w:val="auto"/>
                <w:kern w:val="0"/>
                <w:highlight w:val="none"/>
              </w:rPr>
              <w:t>a）应限定IP地址更改策略，IP地址的修改应由系统管理员执行，修改操作写入操作日志中；</w:t>
            </w:r>
          </w:p>
          <w:p>
            <w:pPr>
              <w:autoSpaceDE w:val="0"/>
              <w:autoSpaceDN w:val="0"/>
              <w:jc w:val="left"/>
              <w:rPr>
                <w:rFonts w:ascii="宋体" w:hAnsi="宋体"/>
                <w:color w:val="auto"/>
                <w:kern w:val="0"/>
                <w:highlight w:val="none"/>
              </w:rPr>
            </w:pPr>
            <w:r>
              <w:rPr>
                <w:rFonts w:ascii="宋体" w:hAnsi="宋体"/>
                <w:color w:val="auto"/>
                <w:kern w:val="0"/>
                <w:highlight w:val="none"/>
              </w:rPr>
              <w:t>b）</w:t>
            </w:r>
            <w:r>
              <w:rPr>
                <w:rFonts w:hint="eastAsia" w:ascii="宋体" w:hAnsi="宋体"/>
                <w:color w:val="auto"/>
                <w:kern w:val="0"/>
                <w:highlight w:val="none"/>
              </w:rPr>
              <w:t>应禁止配置默认路由，禁止转发，并关闭不必要的公共网络服务和网络端口。</w:t>
            </w:r>
          </w:p>
          <w:p>
            <w:pPr>
              <w:autoSpaceDE w:val="0"/>
              <w:autoSpaceDN w:val="0"/>
              <w:jc w:val="left"/>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0.</w:t>
            </w:r>
            <w:r>
              <w:rPr>
                <w:rFonts w:hint="eastAsia" w:ascii="宋体" w:hAnsi="宋体"/>
                <w:color w:val="auto"/>
                <w:kern w:val="0"/>
                <w:highlight w:val="none"/>
              </w:rPr>
              <w:t>外设接口管理检查：</w:t>
            </w:r>
          </w:p>
          <w:p>
            <w:pPr>
              <w:autoSpaceDE w:val="0"/>
              <w:autoSpaceDN w:val="0"/>
              <w:jc w:val="left"/>
              <w:rPr>
                <w:rFonts w:ascii="宋体" w:hAnsi="宋体"/>
                <w:color w:val="auto"/>
                <w:kern w:val="0"/>
                <w:highlight w:val="none"/>
              </w:rPr>
            </w:pPr>
            <w:r>
              <w:rPr>
                <w:rFonts w:hint="eastAsia" w:ascii="宋体" w:hAnsi="宋体"/>
                <w:color w:val="auto"/>
                <w:kern w:val="0"/>
                <w:highlight w:val="none"/>
              </w:rPr>
              <w:t>a)应配置外设接口使用策略，只准许特定接口接入设备；</w:t>
            </w:r>
          </w:p>
          <w:p>
            <w:pPr>
              <w:autoSpaceDE w:val="0"/>
              <w:autoSpaceDN w:val="0"/>
              <w:jc w:val="left"/>
              <w:rPr>
                <w:rFonts w:ascii="宋体" w:hAnsi="宋体"/>
                <w:color w:val="auto"/>
                <w:kern w:val="0"/>
                <w:highlight w:val="none"/>
              </w:rPr>
            </w:pPr>
            <w:r>
              <w:rPr>
                <w:rFonts w:hint="eastAsia" w:ascii="宋体" w:hAnsi="宋体"/>
                <w:color w:val="auto"/>
                <w:kern w:val="0"/>
                <w:highlight w:val="none"/>
              </w:rPr>
              <w:t>b)应配置USB接口使用策略。应支持第三方管控工具对USB接口进行授权管理，禁止工具未授权的U盘、移动硬盘等存储设备接入USB接口，可允许鼠标、键盘等标准输入设备使用USB接口，可允许U-Key、指纹仪等身份鉴别设备使用USB接口；</w:t>
            </w:r>
          </w:p>
          <w:p>
            <w:pPr>
              <w:autoSpaceDE w:val="0"/>
              <w:autoSpaceDN w:val="0"/>
              <w:jc w:val="left"/>
              <w:rPr>
                <w:rFonts w:ascii="宋体" w:hAnsi="宋体"/>
                <w:color w:val="auto"/>
                <w:kern w:val="0"/>
                <w:highlight w:val="none"/>
              </w:rPr>
            </w:pPr>
            <w:r>
              <w:rPr>
                <w:rFonts w:hint="eastAsia" w:ascii="宋体" w:hAnsi="宋体"/>
                <w:color w:val="auto"/>
                <w:kern w:val="0"/>
                <w:highlight w:val="none"/>
              </w:rPr>
              <w:t>c）应支持USB接口统一管控工具的稳定运行；</w:t>
            </w:r>
          </w:p>
          <w:p>
            <w:pPr>
              <w:autoSpaceDE w:val="0"/>
              <w:autoSpaceDN w:val="0"/>
              <w:jc w:val="left"/>
              <w:rPr>
                <w:rFonts w:ascii="宋体" w:hAnsi="宋体"/>
                <w:color w:val="auto"/>
                <w:kern w:val="0"/>
                <w:highlight w:val="none"/>
              </w:rPr>
            </w:pPr>
            <w:r>
              <w:rPr>
                <w:rFonts w:hint="eastAsia" w:ascii="宋体" w:hAnsi="宋体"/>
                <w:color w:val="auto"/>
                <w:kern w:val="0"/>
                <w:highlight w:val="none"/>
              </w:rPr>
              <w:t>d）非法接入外设时应产生告警，并记录在日志中。</w:t>
            </w:r>
          </w:p>
          <w:p>
            <w:pPr>
              <w:autoSpaceDE w:val="0"/>
              <w:autoSpaceDN w:val="0"/>
              <w:jc w:val="left"/>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1.</w:t>
            </w:r>
            <w:r>
              <w:rPr>
                <w:rFonts w:hint="eastAsia" w:ascii="宋体" w:hAnsi="宋体"/>
                <w:color w:val="auto"/>
                <w:kern w:val="0"/>
                <w:highlight w:val="none"/>
              </w:rPr>
              <w:t>自动播放功能管理：应关闭移动存储介质的自动播放或自动打开功能；应关闭光驱的自动播放或自动打开功能。</w:t>
            </w:r>
          </w:p>
          <w:p>
            <w:pPr>
              <w:autoSpaceDE w:val="0"/>
              <w:autoSpaceDN w:val="0"/>
              <w:jc w:val="left"/>
              <w:rPr>
                <w:rFonts w:ascii="宋体" w:hAnsi="宋体"/>
                <w:color w:val="auto"/>
                <w:kern w:val="0"/>
                <w:highlight w:val="none"/>
              </w:rPr>
            </w:pPr>
            <w:r>
              <w:rPr>
                <w:rFonts w:ascii="宋体" w:hAnsi="宋体"/>
                <w:color w:val="auto"/>
                <w:kern w:val="0"/>
                <w:highlight w:val="none"/>
              </w:rPr>
              <w:t>1</w:t>
            </w:r>
            <w:r>
              <w:rPr>
                <w:rFonts w:hint="eastAsia" w:ascii="宋体" w:hAnsi="宋体"/>
                <w:color w:val="auto"/>
                <w:kern w:val="0"/>
                <w:highlight w:val="none"/>
              </w:rPr>
              <w:t>2</w:t>
            </w:r>
            <w:r>
              <w:rPr>
                <w:rFonts w:ascii="宋体" w:hAnsi="宋体"/>
                <w:color w:val="auto"/>
                <w:kern w:val="0"/>
                <w:highlight w:val="none"/>
              </w:rPr>
              <w:t>.分别记录内存读写性能、文件系统读写性能、网络传输速率和系统启动时间。</w:t>
            </w:r>
          </w:p>
          <w:p>
            <w:pPr>
              <w:autoSpaceDE w:val="0"/>
              <w:autoSpaceDN w:val="0"/>
              <w:jc w:val="left"/>
              <w:rPr>
                <w:rFonts w:ascii="宋体" w:hAnsi="宋体"/>
                <w:color w:val="auto"/>
                <w:kern w:val="0"/>
                <w:highlight w:val="none"/>
              </w:rPr>
            </w:pPr>
            <w:r>
              <w:rPr>
                <w:rFonts w:ascii="宋体" w:hAnsi="宋体"/>
                <w:color w:val="auto"/>
                <w:kern w:val="0"/>
                <w:highlight w:val="none"/>
              </w:rPr>
              <w:t>1</w:t>
            </w:r>
            <w:r>
              <w:rPr>
                <w:rFonts w:hint="eastAsia" w:ascii="宋体" w:hAnsi="宋体"/>
                <w:color w:val="auto"/>
                <w:kern w:val="0"/>
                <w:highlight w:val="none"/>
              </w:rPr>
              <w:t>3</w:t>
            </w:r>
            <w:r>
              <w:rPr>
                <w:rFonts w:ascii="宋体" w:hAnsi="宋体"/>
                <w:color w:val="auto"/>
                <w:kern w:val="0"/>
                <w:highlight w:val="none"/>
              </w:rPr>
              <w:t>.健壮性：</w:t>
            </w:r>
          </w:p>
          <w:p>
            <w:pPr>
              <w:autoSpaceDE w:val="0"/>
              <w:autoSpaceDN w:val="0"/>
              <w:jc w:val="left"/>
              <w:rPr>
                <w:rFonts w:ascii="宋体" w:hAnsi="宋体"/>
                <w:color w:val="auto"/>
                <w:kern w:val="0"/>
                <w:highlight w:val="none"/>
              </w:rPr>
            </w:pPr>
            <w:r>
              <w:rPr>
                <w:rFonts w:ascii="宋体" w:hAnsi="宋体"/>
                <w:color w:val="auto"/>
                <w:kern w:val="0"/>
                <w:highlight w:val="none"/>
              </w:rPr>
              <w:t>a）</w:t>
            </w:r>
            <w:r>
              <w:rPr>
                <w:rFonts w:hint="eastAsia" w:ascii="宋体" w:hAnsi="宋体"/>
                <w:color w:val="auto"/>
                <w:kern w:val="0"/>
                <w:highlight w:val="none"/>
              </w:rPr>
              <w:t>连续开关机次数不少于100次；</w:t>
            </w:r>
          </w:p>
          <w:p>
            <w:pPr>
              <w:autoSpaceDE w:val="0"/>
              <w:autoSpaceDN w:val="0"/>
              <w:jc w:val="left"/>
              <w:rPr>
                <w:rFonts w:ascii="宋体" w:hAnsi="宋体"/>
                <w:color w:val="auto"/>
                <w:kern w:val="0"/>
                <w:highlight w:val="none"/>
              </w:rPr>
            </w:pPr>
            <w:r>
              <w:rPr>
                <w:rFonts w:hint="eastAsia" w:ascii="宋体" w:hAnsi="宋体"/>
                <w:color w:val="auto"/>
                <w:kern w:val="0"/>
                <w:highlight w:val="none"/>
              </w:rPr>
              <w:t>b）系统稳定运行时间不小于72h；</w:t>
            </w:r>
          </w:p>
          <w:p>
            <w:pPr>
              <w:autoSpaceDE w:val="0"/>
              <w:autoSpaceDN w:val="0"/>
              <w:jc w:val="left"/>
              <w:rPr>
                <w:rFonts w:ascii="宋体" w:hAnsi="宋体"/>
                <w:color w:val="auto"/>
                <w:kern w:val="0"/>
                <w:highlight w:val="none"/>
              </w:rPr>
            </w:pPr>
            <w:r>
              <w:rPr>
                <w:rFonts w:ascii="宋体" w:hAnsi="宋体"/>
                <w:color w:val="auto"/>
                <w:kern w:val="0"/>
                <w:highlight w:val="none"/>
              </w:rPr>
              <w:t>c）</w:t>
            </w:r>
            <w:r>
              <w:rPr>
                <w:rFonts w:hint="eastAsia" w:ascii="宋体" w:hAnsi="宋体"/>
                <w:color w:val="auto"/>
                <w:kern w:val="0"/>
                <w:highlight w:val="none"/>
              </w:rPr>
              <w:t>加电重启后，用户能成功登录，文件系统、网络系统正常。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.查询并记录智能远动机操作系统制造商及版本号。</w:t>
            </w:r>
          </w:p>
          <w:p>
            <w:pPr>
              <w:autoSpaceDE w:val="0"/>
              <w:autoSpaceDN w:val="0"/>
              <w:jc w:val="left"/>
              <w:rPr>
                <w:rFonts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.执行系统库和已安装应用检查命令，检查安装情况是否满足要求。</w:t>
            </w:r>
          </w:p>
          <w:p>
            <w:pPr>
              <w:autoSpaceDE w:val="0"/>
              <w:autoSpaceDN w:val="0"/>
              <w:jc w:val="left"/>
              <w:rPr>
                <w:rFonts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.执行已安装服务查询命令，检查服务安装是否满足要求；尝试启停各类服务，检查智能远动机应用软件是否受到影响。</w:t>
            </w:r>
          </w:p>
          <w:p>
            <w:pPr>
              <w:autoSpaceDE w:val="0"/>
              <w:autoSpaceDN w:val="0"/>
              <w:jc w:val="left"/>
              <w:rPr>
                <w:rFonts w:ascii="宋体" w:hAnsi="宋体"/>
                <w:color w:val="auto"/>
                <w:kern w:val="0"/>
                <w:highlight w:val="none"/>
              </w:rPr>
            </w:pPr>
            <w:r>
              <w:rPr>
                <w:rFonts w:hint="eastAsia" w:ascii="宋体" w:hAnsi="宋体"/>
                <w:color w:val="auto"/>
                <w:kern w:val="0"/>
                <w:highlight w:val="none"/>
              </w:rPr>
              <w:t>4</w:t>
            </w:r>
            <w:r>
              <w:rPr>
                <w:rFonts w:ascii="宋体" w:hAnsi="宋体"/>
                <w:color w:val="auto"/>
                <w:kern w:val="0"/>
                <w:highlight w:val="none"/>
              </w:rPr>
              <w:t>.执行已安装软件表查询命令、通过漏洞扫描工具对软件包进行扫描，检查已安装的软件包是否修复了已知安全漏洞。</w:t>
            </w:r>
          </w:p>
          <w:p>
            <w:pPr>
              <w:autoSpaceDE w:val="0"/>
              <w:autoSpaceDN w:val="0"/>
              <w:jc w:val="left"/>
              <w:rPr>
                <w:rFonts w:ascii="宋体" w:hAnsi="宋体"/>
                <w:color w:val="auto"/>
                <w:kern w:val="0"/>
                <w:highlight w:val="none"/>
              </w:rPr>
            </w:pPr>
            <w:r>
              <w:rPr>
                <w:rFonts w:hint="eastAsia" w:ascii="宋体" w:hAnsi="宋体"/>
                <w:color w:val="auto"/>
                <w:kern w:val="0"/>
                <w:highlight w:val="none"/>
              </w:rPr>
              <w:t>5</w:t>
            </w:r>
            <w:r>
              <w:rPr>
                <w:rFonts w:ascii="宋体" w:hAnsi="宋体"/>
                <w:color w:val="auto"/>
                <w:kern w:val="0"/>
                <w:highlight w:val="none"/>
              </w:rPr>
              <w:t>.执行内核版本检查命令，检查内核版本是否满足要求。</w:t>
            </w:r>
          </w:p>
          <w:p>
            <w:pPr>
              <w:autoSpaceDE w:val="0"/>
              <w:autoSpaceDN w:val="0"/>
              <w:jc w:val="left"/>
              <w:rPr>
                <w:rFonts w:ascii="宋体" w:hAnsi="宋体"/>
                <w:color w:val="auto"/>
                <w:kern w:val="0"/>
                <w:highlight w:val="none"/>
              </w:rPr>
            </w:pPr>
            <w:r>
              <w:rPr>
                <w:rFonts w:hint="eastAsia" w:ascii="宋体" w:hAnsi="宋体"/>
                <w:color w:val="auto"/>
                <w:kern w:val="0"/>
                <w:highlight w:val="none"/>
              </w:rPr>
              <w:t>6</w:t>
            </w:r>
            <w:r>
              <w:rPr>
                <w:rFonts w:ascii="宋体" w:hAnsi="宋体"/>
                <w:color w:val="auto"/>
                <w:kern w:val="0"/>
                <w:highlight w:val="none"/>
              </w:rPr>
              <w:t>.执行主机名检查命令检查是否配置有主机名，尝试用不同用户修改能否成功。</w:t>
            </w:r>
          </w:p>
          <w:p>
            <w:pPr>
              <w:autoSpaceDE w:val="0"/>
              <w:autoSpaceDN w:val="0"/>
              <w:jc w:val="left"/>
              <w:rPr>
                <w:rFonts w:ascii="宋体" w:hAnsi="宋体"/>
                <w:color w:val="auto"/>
                <w:kern w:val="0"/>
                <w:highlight w:val="none"/>
              </w:rPr>
            </w:pPr>
            <w:r>
              <w:rPr>
                <w:rFonts w:hint="eastAsia" w:ascii="宋体" w:hAnsi="宋体"/>
                <w:color w:val="auto"/>
                <w:kern w:val="0"/>
                <w:highlight w:val="none"/>
              </w:rPr>
              <w:t>7</w:t>
            </w:r>
            <w:r>
              <w:rPr>
                <w:rFonts w:ascii="宋体" w:hAnsi="宋体"/>
                <w:color w:val="auto"/>
                <w:kern w:val="0"/>
                <w:highlight w:val="none"/>
              </w:rPr>
              <w:t>.根据要求逐项进行人工检查。</w:t>
            </w:r>
          </w:p>
          <w:p>
            <w:pPr>
              <w:autoSpaceDE w:val="0"/>
              <w:autoSpaceDN w:val="0"/>
              <w:jc w:val="left"/>
              <w:rPr>
                <w:rFonts w:ascii="宋体" w:hAnsi="宋体"/>
                <w:color w:val="auto"/>
                <w:kern w:val="0"/>
                <w:highlight w:val="none"/>
              </w:rPr>
            </w:pPr>
            <w:r>
              <w:rPr>
                <w:rFonts w:hint="eastAsia" w:ascii="宋体" w:hAnsi="宋体"/>
                <w:color w:val="auto"/>
                <w:kern w:val="0"/>
                <w:highlight w:val="none"/>
              </w:rPr>
              <w:t>8</w:t>
            </w:r>
            <w:r>
              <w:rPr>
                <w:rFonts w:ascii="宋体" w:hAnsi="宋体"/>
                <w:color w:val="auto"/>
                <w:kern w:val="0"/>
                <w:highlight w:val="none"/>
              </w:rPr>
              <w:t>.执行防火墙配置检查命令检查防火墙服务及配置是否满足要求。</w:t>
            </w:r>
          </w:p>
          <w:p>
            <w:pPr>
              <w:autoSpaceDE w:val="0"/>
              <w:autoSpaceDN w:val="0"/>
              <w:jc w:val="left"/>
              <w:rPr>
                <w:rFonts w:ascii="宋体" w:hAnsi="宋体"/>
                <w:color w:val="auto"/>
                <w:kern w:val="0"/>
                <w:highlight w:val="none"/>
              </w:rPr>
            </w:pPr>
            <w:r>
              <w:rPr>
                <w:rFonts w:hint="eastAsia" w:ascii="宋体" w:hAnsi="宋体"/>
                <w:color w:val="auto"/>
                <w:kern w:val="0"/>
                <w:highlight w:val="none"/>
              </w:rPr>
              <w:t>9</w:t>
            </w:r>
            <w:r>
              <w:rPr>
                <w:rFonts w:ascii="宋体" w:hAnsi="宋体"/>
                <w:color w:val="auto"/>
                <w:kern w:val="0"/>
                <w:highlight w:val="none"/>
              </w:rPr>
              <w:t>.尝试用不同用户修改</w:t>
            </w:r>
            <w:r>
              <w:rPr>
                <w:rFonts w:hint="eastAsia" w:ascii="宋体" w:hAnsi="宋体"/>
                <w:color w:val="auto"/>
                <w:kern w:val="0"/>
                <w:highlight w:val="none"/>
              </w:rPr>
              <w:t>I</w:t>
            </w:r>
            <w:r>
              <w:rPr>
                <w:rFonts w:ascii="宋体" w:hAnsi="宋体"/>
                <w:color w:val="auto"/>
                <w:kern w:val="0"/>
                <w:highlight w:val="none"/>
              </w:rPr>
              <w:t>P地址，检查是否修改成功并具备修改日志；执行命令检查默认路由、</w:t>
            </w:r>
            <w:r>
              <w:rPr>
                <w:rFonts w:hint="eastAsia" w:ascii="宋体" w:hAnsi="宋体"/>
                <w:color w:val="auto"/>
                <w:kern w:val="0"/>
                <w:highlight w:val="none"/>
              </w:rPr>
              <w:t>I</w:t>
            </w:r>
            <w:r>
              <w:rPr>
                <w:rFonts w:ascii="宋体" w:hAnsi="宋体"/>
                <w:color w:val="auto"/>
                <w:kern w:val="0"/>
                <w:highlight w:val="none"/>
              </w:rPr>
              <w:t>P转发和端口开放情况。</w:t>
            </w:r>
          </w:p>
          <w:p>
            <w:pPr>
              <w:autoSpaceDE w:val="0"/>
              <w:autoSpaceDN w:val="0"/>
              <w:jc w:val="left"/>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0.模拟不同</w:t>
            </w:r>
            <w:r>
              <w:rPr>
                <w:rFonts w:hint="eastAsia" w:ascii="宋体" w:hAnsi="宋体"/>
                <w:color w:val="auto"/>
                <w:kern w:val="0"/>
                <w:highlight w:val="none"/>
              </w:rPr>
              <w:t>U</w:t>
            </w:r>
            <w:r>
              <w:rPr>
                <w:rFonts w:ascii="宋体" w:hAnsi="宋体"/>
                <w:color w:val="auto"/>
                <w:kern w:val="0"/>
                <w:highlight w:val="none"/>
              </w:rPr>
              <w:t>SB设备接入，检查接入结果及日志。</w:t>
            </w:r>
          </w:p>
          <w:p>
            <w:pPr>
              <w:autoSpaceDE w:val="0"/>
              <w:autoSpaceDN w:val="0"/>
              <w:jc w:val="left"/>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1.执行命令检查自动播放功能是否关闭</w:t>
            </w:r>
            <w:r>
              <w:rPr>
                <w:rFonts w:hint="eastAsia" w:ascii="宋体" w:hAnsi="宋体"/>
                <w:color w:val="auto"/>
                <w:kern w:val="0"/>
                <w:highlight w:val="none"/>
              </w:rPr>
              <w:t>；</w:t>
            </w:r>
            <w:r>
              <w:rPr>
                <w:rFonts w:ascii="宋体" w:hAnsi="宋体"/>
                <w:color w:val="auto"/>
                <w:kern w:val="0"/>
                <w:highlight w:val="none"/>
              </w:rPr>
              <w:t>尝试插入</w:t>
            </w:r>
            <w:r>
              <w:rPr>
                <w:rFonts w:hint="eastAsia" w:ascii="宋体" w:hAnsi="宋体"/>
                <w:color w:val="auto"/>
                <w:kern w:val="0"/>
                <w:highlight w:val="none"/>
              </w:rPr>
              <w:t>移动存储介质和光盘，检查是否自动打开。</w:t>
            </w:r>
          </w:p>
          <w:p>
            <w:pPr>
              <w:autoSpaceDE w:val="0"/>
              <w:autoSpaceDN w:val="0"/>
              <w:jc w:val="left"/>
              <w:rPr>
                <w:rFonts w:ascii="宋体" w:hAnsi="宋体"/>
                <w:color w:val="auto"/>
                <w:kern w:val="0"/>
                <w:highlight w:val="none"/>
              </w:rPr>
            </w:pPr>
            <w:r>
              <w:rPr>
                <w:rFonts w:ascii="宋体" w:hAnsi="宋体"/>
                <w:color w:val="auto"/>
                <w:kern w:val="0"/>
                <w:highlight w:val="none"/>
              </w:rPr>
              <w:t>12.</w:t>
            </w:r>
            <w:r>
              <w:rPr>
                <w:rFonts w:hint="eastAsia" w:ascii="宋体" w:hAnsi="宋体"/>
                <w:color w:val="auto"/>
                <w:kern w:val="0"/>
                <w:highlight w:val="none"/>
              </w:rPr>
              <w:t>性能测试</w:t>
            </w:r>
          </w:p>
          <w:p>
            <w:pPr>
              <w:autoSpaceDE w:val="0"/>
              <w:autoSpaceDN w:val="0"/>
              <w:jc w:val="left"/>
              <w:rPr>
                <w:rFonts w:ascii="宋体" w:hAnsi="宋体"/>
                <w:color w:val="auto"/>
                <w:kern w:val="0"/>
                <w:highlight w:val="none"/>
              </w:rPr>
            </w:pPr>
            <w:r>
              <w:rPr>
                <w:rFonts w:hint="eastAsia" w:ascii="宋体" w:hAnsi="宋体"/>
                <w:color w:val="auto"/>
                <w:kern w:val="0"/>
                <w:highlight w:val="none"/>
              </w:rPr>
              <w:t>a）内存读写性能：执行测试程序，测试内存连续读写延时、内存随机访问延时，结果取三次测试的平均值；</w:t>
            </w:r>
          </w:p>
          <w:p>
            <w:pPr>
              <w:autoSpaceDE w:val="0"/>
              <w:autoSpaceDN w:val="0"/>
              <w:jc w:val="left"/>
              <w:rPr>
                <w:rFonts w:ascii="宋体" w:hAnsi="宋体"/>
                <w:color w:val="auto"/>
                <w:kern w:val="0"/>
                <w:highlight w:val="none"/>
              </w:rPr>
            </w:pPr>
            <w:r>
              <w:rPr>
                <w:rFonts w:hint="eastAsia" w:ascii="宋体" w:hAnsi="宋体"/>
                <w:color w:val="auto"/>
                <w:kern w:val="0"/>
                <w:highlight w:val="none"/>
              </w:rPr>
              <w:t>b）文件系统读写性能：执行测试程序，测试文件系统对磁盘的读和写速度，结果取三次测试的平均值；</w:t>
            </w:r>
          </w:p>
          <w:p>
            <w:pPr>
              <w:autoSpaceDE w:val="0"/>
              <w:autoSpaceDN w:val="0"/>
              <w:jc w:val="left"/>
              <w:rPr>
                <w:rFonts w:ascii="宋体" w:hAnsi="宋体"/>
                <w:color w:val="auto"/>
                <w:kern w:val="0"/>
                <w:highlight w:val="none"/>
              </w:rPr>
            </w:pPr>
            <w:r>
              <w:rPr>
                <w:rFonts w:hint="eastAsia" w:ascii="宋体" w:hAnsi="宋体"/>
                <w:color w:val="auto"/>
                <w:kern w:val="0"/>
                <w:highlight w:val="none"/>
              </w:rPr>
              <w:t>c）网络传输速率：执行测试程序，测试TCP、UDP的网络传输速率、网络传输延迟，结果取三次测试的平均值；</w:t>
            </w:r>
          </w:p>
          <w:p>
            <w:pPr>
              <w:autoSpaceDE w:val="0"/>
              <w:autoSpaceDN w:val="0"/>
              <w:jc w:val="left"/>
              <w:rPr>
                <w:rFonts w:ascii="宋体" w:hAnsi="宋体"/>
                <w:color w:val="auto"/>
                <w:kern w:val="0"/>
                <w:highlight w:val="none"/>
              </w:rPr>
            </w:pPr>
            <w:r>
              <w:rPr>
                <w:rFonts w:hint="eastAsia" w:ascii="宋体" w:hAnsi="宋体"/>
                <w:color w:val="auto"/>
                <w:kern w:val="0"/>
                <w:highlight w:val="none"/>
              </w:rPr>
              <w:t>d）系统启动时间：使用计时器，测试系统启动时间（计时从开机开始，至用户登录界面中登录用户栏出现光标闪烁时结束），结果取三次测试的平均值。</w:t>
            </w:r>
          </w:p>
          <w:p>
            <w:pPr>
              <w:autoSpaceDE w:val="0"/>
              <w:autoSpaceDN w:val="0"/>
              <w:jc w:val="left"/>
              <w:rPr>
                <w:rFonts w:ascii="宋体" w:hAnsi="宋体"/>
                <w:color w:val="auto"/>
                <w:kern w:val="0"/>
                <w:highlight w:val="none"/>
              </w:rPr>
            </w:pPr>
            <w:r>
              <w:rPr>
                <w:rFonts w:ascii="宋体" w:hAnsi="宋体"/>
                <w:color w:val="auto"/>
                <w:kern w:val="0"/>
                <w:highlight w:val="none"/>
              </w:rPr>
              <w:t>13.</w:t>
            </w:r>
            <w:r>
              <w:rPr>
                <w:rFonts w:hint="eastAsia" w:ascii="宋体" w:hAnsi="宋体"/>
                <w:color w:val="auto"/>
                <w:kern w:val="0"/>
                <w:highlight w:val="none"/>
              </w:rPr>
              <w:t>健壮性</w:t>
            </w:r>
          </w:p>
          <w:p>
            <w:pPr>
              <w:autoSpaceDE w:val="0"/>
              <w:autoSpaceDN w:val="0"/>
              <w:jc w:val="left"/>
              <w:rPr>
                <w:rFonts w:ascii="宋体" w:hAnsi="宋体"/>
                <w:color w:val="auto"/>
                <w:kern w:val="0"/>
                <w:highlight w:val="none"/>
              </w:rPr>
            </w:pPr>
            <w:r>
              <w:rPr>
                <w:rFonts w:ascii="宋体" w:hAnsi="宋体"/>
                <w:color w:val="auto"/>
                <w:kern w:val="0"/>
                <w:highlight w:val="none"/>
              </w:rPr>
              <w:t>a）</w:t>
            </w:r>
            <w:r>
              <w:rPr>
                <w:rFonts w:hint="eastAsia" w:ascii="宋体" w:hAnsi="宋体"/>
                <w:color w:val="auto"/>
                <w:kern w:val="0"/>
                <w:highlight w:val="none"/>
              </w:rPr>
              <w:t>开关机稳定性：执行测试程序，连续启动（进入系统后不执行任何额外应用进程）和关闭系统，验证系统能否连续开关机不少于100次。</w:t>
            </w:r>
          </w:p>
          <w:p>
            <w:pPr>
              <w:autoSpaceDE w:val="0"/>
              <w:autoSpaceDN w:val="0"/>
              <w:jc w:val="left"/>
              <w:rPr>
                <w:rFonts w:ascii="宋体" w:hAnsi="宋体"/>
                <w:color w:val="auto"/>
                <w:kern w:val="0"/>
                <w:highlight w:val="none"/>
              </w:rPr>
            </w:pPr>
            <w:r>
              <w:rPr>
                <w:rFonts w:ascii="宋体" w:hAnsi="宋体"/>
                <w:color w:val="auto"/>
                <w:kern w:val="0"/>
                <w:highlight w:val="none"/>
              </w:rPr>
              <w:t>b）</w:t>
            </w:r>
            <w:r>
              <w:rPr>
                <w:rFonts w:hint="eastAsia" w:ascii="宋体" w:hAnsi="宋体"/>
                <w:color w:val="auto"/>
                <w:kern w:val="0"/>
                <w:highlight w:val="none"/>
              </w:rPr>
              <w:t>系统稳定性：执行测试程序，造成系统高负载（CPU占用率不低于90%，内存占用率不低于80%），验证系统稳定运行时间是否不小于72h。</w:t>
            </w:r>
          </w:p>
          <w:p>
            <w:pPr>
              <w:autoSpaceDE w:val="0"/>
              <w:autoSpaceDN w:val="0"/>
              <w:jc w:val="left"/>
              <w:rPr>
                <w:rFonts w:ascii="宋体" w:hAnsi="宋体"/>
                <w:color w:val="auto"/>
                <w:kern w:val="0"/>
                <w:highlight w:val="none"/>
              </w:rPr>
            </w:pPr>
            <w:r>
              <w:rPr>
                <w:rFonts w:ascii="宋体" w:hAnsi="宋体"/>
                <w:color w:val="auto"/>
                <w:kern w:val="0"/>
                <w:highlight w:val="none"/>
              </w:rPr>
              <w:t>c）</w:t>
            </w:r>
            <w:r>
              <w:rPr>
                <w:rFonts w:hint="eastAsia" w:ascii="宋体" w:hAnsi="宋体"/>
                <w:color w:val="auto"/>
                <w:kern w:val="0"/>
                <w:highlight w:val="none"/>
              </w:rPr>
              <w:t>掉电处理：在系统启动、关闭、硬盘读或写、系统升级等过程中切断系统电源不少于10次，加电重启后，检查用户能否成功登录，文件系统、网络系统是否正常。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测试要求</w:t>
            </w:r>
            <w:r>
              <w:rPr>
                <w:rFonts w:hint="eastAsia" w:ascii="宋体" w:hAnsi="宋体"/>
                <w:color w:val="auto"/>
                <w:highlight w:val="none"/>
              </w:rPr>
              <w:t>中</w:t>
            </w:r>
            <w:r>
              <w:rPr>
                <w:rFonts w:ascii="宋体" w:hAnsi="宋体"/>
                <w:color w:val="auto"/>
                <w:highlight w:val="none"/>
              </w:rPr>
              <w:t>第</w:t>
            </w:r>
            <w:r>
              <w:rPr>
                <w:rFonts w:hint="eastAsia" w:ascii="宋体" w:hAnsi="宋体"/>
                <w:color w:val="auto"/>
                <w:highlight w:val="none"/>
              </w:rPr>
              <w:t>6条至第</w:t>
            </w:r>
            <w:r>
              <w:rPr>
                <w:rFonts w:ascii="宋体" w:hAnsi="宋体"/>
                <w:color w:val="auto"/>
                <w:highlight w:val="none"/>
              </w:rPr>
              <w:t>10条若装置采用</w:t>
            </w:r>
            <w:r>
              <w:rPr>
                <w:rFonts w:hint="eastAsia" w:ascii="宋体" w:hAnsi="宋体"/>
                <w:color w:val="auto"/>
                <w:highlight w:val="none"/>
              </w:rPr>
              <w:t>的嵌入式L</w:t>
            </w:r>
            <w:r>
              <w:rPr>
                <w:rFonts w:ascii="宋体" w:hAnsi="宋体"/>
                <w:color w:val="auto"/>
                <w:highlight w:val="none"/>
              </w:rPr>
              <w:t>inux操作系统</w:t>
            </w:r>
            <w:r>
              <w:rPr>
                <w:rFonts w:hint="eastAsia" w:ascii="宋体" w:hAnsi="宋体"/>
                <w:color w:val="auto"/>
                <w:highlight w:val="none"/>
              </w:rPr>
              <w:t>本身不具备</w:t>
            </w:r>
            <w:r>
              <w:rPr>
                <w:rFonts w:ascii="宋体" w:hAnsi="宋体"/>
                <w:color w:val="auto"/>
                <w:highlight w:val="none"/>
              </w:rPr>
              <w:t>该功能则对应条款的</w:t>
            </w:r>
            <w:r>
              <w:rPr>
                <w:rFonts w:hint="eastAsia" w:ascii="宋体" w:hAnsi="宋体"/>
                <w:color w:val="auto"/>
                <w:highlight w:val="none"/>
              </w:rPr>
              <w:t>预期</w:t>
            </w:r>
            <w:r>
              <w:rPr>
                <w:rFonts w:ascii="宋体" w:hAnsi="宋体"/>
                <w:color w:val="auto"/>
                <w:highlight w:val="none"/>
              </w:rPr>
              <w:t>结果为“</w:t>
            </w:r>
            <w:r>
              <w:rPr>
                <w:rFonts w:hint="eastAsia" w:ascii="宋体" w:hAnsi="宋体"/>
                <w:color w:val="auto"/>
                <w:highlight w:val="none"/>
              </w:rPr>
              <w:t>不</w:t>
            </w:r>
            <w:r>
              <w:rPr>
                <w:rFonts w:ascii="宋体" w:hAnsi="宋体"/>
                <w:color w:val="auto"/>
                <w:highlight w:val="none"/>
              </w:rPr>
              <w:t>适用”</w:t>
            </w:r>
            <w:r>
              <w:rPr>
                <w:rFonts w:hint="eastAsia" w:ascii="宋体" w:hAnsi="宋体"/>
                <w:color w:val="auto"/>
                <w:highlight w:val="none"/>
              </w:rPr>
              <w:t>；测试要求中第7条若装置采用无桌面方式运行则该条款的预期</w:t>
            </w:r>
            <w:r>
              <w:rPr>
                <w:rFonts w:ascii="宋体" w:hAnsi="宋体"/>
                <w:color w:val="auto"/>
                <w:highlight w:val="none"/>
              </w:rPr>
              <w:t>结果为“</w:t>
            </w:r>
            <w:r>
              <w:rPr>
                <w:rFonts w:hint="eastAsia" w:ascii="宋体" w:hAnsi="宋体"/>
                <w:color w:val="auto"/>
                <w:highlight w:val="none"/>
              </w:rPr>
              <w:t>不</w:t>
            </w:r>
            <w:r>
              <w:rPr>
                <w:rFonts w:ascii="宋体" w:hAnsi="宋体"/>
                <w:color w:val="auto"/>
                <w:highlight w:val="none"/>
              </w:rPr>
              <w:t>适用”。</w:t>
            </w:r>
          </w:p>
        </w:tc>
      </w:tr>
    </w:tbl>
    <w:p>
      <w:pPr>
        <w:autoSpaceDE w:val="0"/>
        <w:autoSpaceDN w:val="0"/>
        <w:adjustRightInd w:val="0"/>
        <w:jc w:val="left"/>
        <w:rPr>
          <w:rFonts w:ascii="宋体" w:hAnsi="宋体" w:cs="宋体"/>
          <w:color w:val="auto"/>
          <w:kern w:val="0"/>
          <w:sz w:val="24"/>
          <w:szCs w:val="24"/>
          <w:highlight w:val="none"/>
        </w:rPr>
      </w:pPr>
    </w:p>
    <w:p>
      <w:pPr>
        <w:pStyle w:val="5"/>
        <w:rPr>
          <w:color w:val="auto"/>
          <w:sz w:val="24"/>
          <w:szCs w:val="24"/>
          <w:highlight w:val="none"/>
        </w:rPr>
      </w:pPr>
      <w:r>
        <w:rPr>
          <w:rFonts w:hint="eastAsia"/>
          <w:color w:val="auto"/>
          <w:sz w:val="24"/>
          <w:szCs w:val="24"/>
          <w:highlight w:val="none"/>
        </w:rPr>
        <w:t>智能远动机应用软件检验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智能远动机应用软件检验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M</w:t>
            </w:r>
            <w:r>
              <w:rPr>
                <w:rFonts w:ascii="宋体" w:hAnsi="宋体"/>
                <w:color w:val="auto"/>
                <w:sz w:val="22"/>
                <w:szCs w:val="22"/>
                <w:highlight w:val="none"/>
              </w:rPr>
              <w:t>ic</w:t>
            </w:r>
            <w:r>
              <w:rPr>
                <w:rFonts w:hint="eastAsia" w:ascii="宋体" w:hAnsi="宋体"/>
                <w:color w:val="auto"/>
                <w:sz w:val="22"/>
                <w:szCs w:val="22"/>
                <w:highlight w:val="none"/>
              </w:rPr>
              <w:t>0</w:t>
            </w:r>
            <w:r>
              <w:rPr>
                <w:rFonts w:ascii="宋体" w:hAnsi="宋体"/>
                <w:color w:val="auto"/>
                <w:sz w:val="22"/>
                <w:szCs w:val="22"/>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测试期间智能远动机应用软件功能正常、运行稳定、无崩溃、卡死等现象。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在整个测试期间逐个连续操作智能远动机各个应用软件，检查运行是否正常。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autoSpaceDE w:val="0"/>
        <w:autoSpaceDN w:val="0"/>
        <w:adjustRightInd w:val="0"/>
        <w:jc w:val="left"/>
        <w:rPr>
          <w:rFonts w:ascii="宋体" w:hAnsi="宋体" w:cs="宋体"/>
          <w:color w:val="auto"/>
          <w:kern w:val="0"/>
          <w:sz w:val="24"/>
          <w:szCs w:val="24"/>
          <w:highlight w:val="none"/>
        </w:rPr>
      </w:pPr>
    </w:p>
    <w:p>
      <w:pPr>
        <w:pStyle w:val="3"/>
        <w:rPr>
          <w:color w:val="auto"/>
          <w:sz w:val="24"/>
          <w:szCs w:val="24"/>
          <w:highlight w:val="none"/>
        </w:rPr>
      </w:pPr>
      <w:bookmarkStart w:id="86" w:name="_Toc488414371"/>
      <w:bookmarkEnd w:id="86"/>
      <w:bookmarkStart w:id="87" w:name="_Toc488414949"/>
      <w:bookmarkEnd w:id="87"/>
      <w:bookmarkStart w:id="88" w:name="_Toc488414848"/>
      <w:bookmarkEnd w:id="88"/>
      <w:bookmarkStart w:id="89" w:name="_Toc488074686"/>
      <w:bookmarkEnd w:id="89"/>
      <w:bookmarkStart w:id="90" w:name="_Toc488414877"/>
      <w:bookmarkEnd w:id="90"/>
      <w:bookmarkStart w:id="91" w:name="_Toc488414297"/>
      <w:bookmarkEnd w:id="91"/>
      <w:bookmarkStart w:id="92" w:name="_Toc488414827"/>
      <w:bookmarkEnd w:id="92"/>
      <w:bookmarkStart w:id="93" w:name="_Toc488414321"/>
      <w:bookmarkEnd w:id="93"/>
      <w:bookmarkStart w:id="94" w:name="_Toc488074783"/>
      <w:bookmarkEnd w:id="94"/>
      <w:bookmarkStart w:id="95" w:name="_Toc488414923"/>
      <w:bookmarkEnd w:id="95"/>
      <w:bookmarkStart w:id="96" w:name="_Toc488414924"/>
      <w:bookmarkEnd w:id="96"/>
      <w:bookmarkStart w:id="97" w:name="_Toc492304741"/>
      <w:bookmarkEnd w:id="97"/>
      <w:bookmarkStart w:id="98" w:name="_Toc488414345"/>
      <w:bookmarkEnd w:id="98"/>
      <w:bookmarkStart w:id="99" w:name="_Toc492304718"/>
      <w:bookmarkEnd w:id="99"/>
      <w:bookmarkStart w:id="100" w:name="_Toc488074658"/>
      <w:bookmarkEnd w:id="100"/>
      <w:bookmarkStart w:id="101" w:name="_Toc492304667"/>
      <w:bookmarkEnd w:id="101"/>
      <w:bookmarkStart w:id="102" w:name="_Toc488074636"/>
      <w:bookmarkEnd w:id="102"/>
      <w:bookmarkStart w:id="103" w:name="_Toc492304690"/>
      <w:bookmarkEnd w:id="103"/>
      <w:bookmarkStart w:id="104" w:name="_Toc492304740"/>
      <w:bookmarkEnd w:id="104"/>
      <w:bookmarkStart w:id="105" w:name="_Toc488074687"/>
      <w:bookmarkEnd w:id="105"/>
      <w:bookmarkStart w:id="106" w:name="_Toc492304689"/>
      <w:bookmarkEnd w:id="106"/>
      <w:bookmarkStart w:id="107" w:name="_Toc488074637"/>
      <w:bookmarkEnd w:id="107"/>
      <w:bookmarkStart w:id="108" w:name="_Toc488414849"/>
      <w:bookmarkEnd w:id="108"/>
      <w:bookmarkStart w:id="109" w:name="_Toc488414247"/>
      <w:bookmarkEnd w:id="109"/>
      <w:bookmarkStart w:id="110" w:name="_Toc488414826"/>
      <w:bookmarkEnd w:id="110"/>
      <w:bookmarkStart w:id="111" w:name="_Toc492304668"/>
      <w:bookmarkEnd w:id="111"/>
      <w:bookmarkStart w:id="112" w:name="_Toc488414248"/>
      <w:bookmarkEnd w:id="112"/>
      <w:bookmarkStart w:id="113" w:name="_Toc488414899"/>
      <w:bookmarkEnd w:id="113"/>
      <w:bookmarkStart w:id="114" w:name="_Toc488074710"/>
      <w:bookmarkEnd w:id="114"/>
      <w:bookmarkStart w:id="115" w:name="_Toc492304717"/>
      <w:bookmarkEnd w:id="115"/>
      <w:bookmarkStart w:id="116" w:name="_Toc488414298"/>
      <w:bookmarkEnd w:id="116"/>
      <w:bookmarkStart w:id="117" w:name="_Toc488414270"/>
      <w:bookmarkEnd w:id="117"/>
      <w:bookmarkStart w:id="118" w:name="_Toc488414269"/>
      <w:bookmarkEnd w:id="118"/>
      <w:bookmarkStart w:id="119" w:name="_Toc488074709"/>
      <w:bookmarkEnd w:id="119"/>
      <w:bookmarkStart w:id="120" w:name="_Toc488074659"/>
      <w:bookmarkEnd w:id="120"/>
      <w:bookmarkStart w:id="121" w:name="_Toc488414876"/>
      <w:bookmarkEnd w:id="121"/>
      <w:bookmarkStart w:id="122" w:name="_Toc488414320"/>
      <w:bookmarkEnd w:id="122"/>
      <w:bookmarkStart w:id="123" w:name="_Toc492304791"/>
      <w:bookmarkEnd w:id="123"/>
      <w:bookmarkStart w:id="124" w:name="_Toc488074760"/>
      <w:bookmarkEnd w:id="124"/>
      <w:bookmarkStart w:id="125" w:name="_Toc488414370"/>
      <w:bookmarkEnd w:id="125"/>
      <w:bookmarkStart w:id="126" w:name="_Toc488414950"/>
      <w:bookmarkEnd w:id="126"/>
      <w:bookmarkStart w:id="127" w:name="_Toc488414973"/>
      <w:bookmarkEnd w:id="127"/>
      <w:bookmarkStart w:id="128" w:name="_Toc488414415"/>
      <w:bookmarkEnd w:id="128"/>
      <w:bookmarkStart w:id="129" w:name="_Toc488074733"/>
      <w:bookmarkEnd w:id="129"/>
      <w:bookmarkStart w:id="130" w:name="_Toc488074782"/>
      <w:bookmarkEnd w:id="130"/>
      <w:bookmarkStart w:id="131" w:name="_Toc488074804"/>
      <w:bookmarkEnd w:id="131"/>
      <w:bookmarkStart w:id="132" w:name="_Toc492304835"/>
      <w:bookmarkEnd w:id="132"/>
      <w:bookmarkStart w:id="133" w:name="_Toc488414393"/>
      <w:bookmarkEnd w:id="133"/>
      <w:bookmarkStart w:id="134" w:name="_Toc488074759"/>
      <w:bookmarkEnd w:id="134"/>
      <w:bookmarkStart w:id="135" w:name="_Toc488414900"/>
      <w:bookmarkEnd w:id="135"/>
      <w:bookmarkStart w:id="136" w:name="_Toc488414344"/>
      <w:bookmarkEnd w:id="136"/>
      <w:bookmarkStart w:id="137" w:name="_Toc492304813"/>
      <w:bookmarkEnd w:id="137"/>
      <w:bookmarkStart w:id="138" w:name="_Toc488074734"/>
      <w:bookmarkEnd w:id="138"/>
      <w:bookmarkStart w:id="139" w:name="_Toc488414972"/>
      <w:bookmarkEnd w:id="139"/>
      <w:bookmarkStart w:id="140" w:name="_Toc488414994"/>
      <w:bookmarkEnd w:id="140"/>
      <w:bookmarkStart w:id="141" w:name="_Toc492304814"/>
      <w:bookmarkEnd w:id="141"/>
      <w:bookmarkStart w:id="142" w:name="_Toc488414394"/>
      <w:bookmarkEnd w:id="142"/>
      <w:bookmarkStart w:id="143" w:name="_Toc492304790"/>
      <w:bookmarkEnd w:id="143"/>
      <w:bookmarkStart w:id="144" w:name="_Toc492304764"/>
      <w:bookmarkEnd w:id="144"/>
      <w:bookmarkStart w:id="145" w:name="_Toc492304765"/>
      <w:bookmarkEnd w:id="145"/>
      <w:bookmarkStart w:id="146" w:name="_Toc49258168"/>
      <w:bookmarkStart w:id="147" w:name="_Toc528273526"/>
      <w:r>
        <w:rPr>
          <w:rFonts w:hint="eastAsia"/>
          <w:color w:val="auto"/>
          <w:sz w:val="24"/>
          <w:szCs w:val="24"/>
          <w:highlight w:val="none"/>
        </w:rPr>
        <w:t>计量功能检验</w:t>
      </w:r>
      <w:bookmarkEnd w:id="146"/>
      <w:bookmarkEnd w:id="147"/>
    </w:p>
    <w:p>
      <w:pPr>
        <w:pStyle w:val="5"/>
        <w:rPr>
          <w:color w:val="auto"/>
          <w:sz w:val="24"/>
          <w:szCs w:val="24"/>
          <w:highlight w:val="none"/>
        </w:rPr>
      </w:pPr>
      <w:bookmarkStart w:id="148" w:name="_Toc528273527"/>
      <w:r>
        <w:rPr>
          <w:rFonts w:hint="eastAsia"/>
          <w:color w:val="auto"/>
          <w:sz w:val="24"/>
          <w:szCs w:val="24"/>
          <w:highlight w:val="none"/>
        </w:rPr>
        <w:t>通信接口检验</w:t>
      </w:r>
      <w:bookmarkEnd w:id="14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通信接口检验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Emm01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11109001-2013 厂站电能量采集终端技术规范4.8.8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至少支持2路独立以太网络接口，宜支持音频专线、PSTN(不允许采用外置式转换设备)、RS-485/RS-232等接口。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检查装置电能量采集接口数量、速率和接入容量。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49" w:name="_Toc528273528"/>
      <w:r>
        <w:rPr>
          <w:rFonts w:hint="eastAsia"/>
          <w:color w:val="auto"/>
          <w:sz w:val="24"/>
          <w:szCs w:val="24"/>
          <w:highlight w:val="none"/>
        </w:rPr>
        <w:t>数据采集功能检验</w:t>
      </w:r>
      <w:bookmarkEnd w:id="14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数据采集功能检验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Emm02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11109001-2013 厂站电能量采集终端技术规范4.8.2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支持定时采集正（反）向有（无）功、电能量信息。</w:t>
            </w:r>
          </w:p>
          <w:p>
            <w:pPr>
              <w:autoSpaceDE w:val="0"/>
              <w:autoSpaceDN w:val="0"/>
              <w:jc w:val="left"/>
              <w:rPr>
                <w:rFonts w:ascii="宋体" w:hAnsi="宋体"/>
                <w:color w:val="auto"/>
                <w:kern w:val="0"/>
                <w:highlight w:val="none"/>
              </w:rPr>
            </w:pPr>
            <w:r>
              <w:rPr>
                <w:rFonts w:hint="eastAsia" w:ascii="宋体" w:hAnsi="宋体"/>
                <w:color w:val="auto"/>
                <w:kern w:val="0"/>
                <w:highlight w:val="none"/>
              </w:rPr>
              <w:t>应能实时采集电能表上送的遥信状态和其它状态信息，可通过菜单及主站实时查看，或生成状态变位事件。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配置远动机实时和定时采集电能量信息，验证采集结果是否与表计一致。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50" w:name="_Toc528273529"/>
      <w:r>
        <w:rPr>
          <w:rFonts w:hint="eastAsia"/>
          <w:color w:val="auto"/>
          <w:sz w:val="24"/>
          <w:szCs w:val="24"/>
          <w:highlight w:val="none"/>
        </w:rPr>
        <w:t>数据处理和存储功能检验</w:t>
      </w:r>
      <w:bookmarkEnd w:id="15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数据处理和存储功能检验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Emm03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11109001-2013 厂站电能量采集终端技术规范4.8.5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终端可对定时采集的数据进行分类处理，生成历史曲线数据、历史日数据、历史月数据。</w:t>
            </w:r>
          </w:p>
          <w:p>
            <w:pPr>
              <w:autoSpaceDE w:val="0"/>
              <w:autoSpaceDN w:val="0"/>
              <w:jc w:val="left"/>
              <w:rPr>
                <w:rFonts w:ascii="宋体" w:hAnsi="宋体"/>
                <w:color w:val="auto"/>
                <w:kern w:val="0"/>
                <w:highlight w:val="none"/>
              </w:rPr>
            </w:pPr>
            <w:r>
              <w:rPr>
                <w:rFonts w:hint="eastAsia" w:ascii="宋体" w:hAnsi="宋体"/>
                <w:color w:val="auto"/>
                <w:kern w:val="0"/>
                <w:highlight w:val="none"/>
              </w:rPr>
              <w:t>终端数据存储容量不得低于128M，应能保证至少存储128个测量点15分钟采集周期电能量曲线数据60天，60天的日历史数据以及24个月的月历史数据。支持容量扩展。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kern w:val="0"/>
                <w:highlight w:val="none"/>
              </w:rPr>
              <w:t>检查终端可根据主站召测历史数据命令请求从定时采集的数据中生成符合相应数据周期（如5分钟、15分钟、1小时等）的历史曲线数据；定时采集的数据在日末（次日零点）形成各种历史日数据，并保存最近</w:t>
            </w:r>
            <w:r>
              <w:rPr>
                <w:rFonts w:ascii="宋体" w:hAnsi="宋体"/>
                <w:color w:val="auto"/>
                <w:kern w:val="0"/>
                <w:highlight w:val="none"/>
              </w:rPr>
              <w:t>6</w:t>
            </w:r>
            <w:r>
              <w:rPr>
                <w:rFonts w:hint="eastAsia" w:ascii="宋体" w:hAnsi="宋体"/>
                <w:color w:val="auto"/>
                <w:kern w:val="0"/>
                <w:highlight w:val="none"/>
              </w:rPr>
              <w:t>0天的日数据；终端将采集的电表月冻结数据分类存储为历史月数据。检查终端的数据存储器容量及历史数据存储情况。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51" w:name="_Toc528273530"/>
      <w:r>
        <w:rPr>
          <w:rFonts w:hint="eastAsia"/>
          <w:color w:val="auto"/>
          <w:sz w:val="24"/>
          <w:szCs w:val="24"/>
          <w:highlight w:val="none"/>
        </w:rPr>
        <w:t>参数设置和查询功能检验</w:t>
      </w:r>
      <w:bookmarkEnd w:id="15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参数设置和查询功能检验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Emm04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11109001-2013 厂站电能量采集终端技术规范4.8.6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1 时钟召测和校时</w:t>
            </w:r>
          </w:p>
          <w:p>
            <w:pPr>
              <w:autoSpaceDE w:val="0"/>
              <w:autoSpaceDN w:val="0"/>
              <w:jc w:val="left"/>
              <w:rPr>
                <w:rFonts w:ascii="宋体" w:hAnsi="宋体"/>
                <w:color w:val="auto"/>
                <w:kern w:val="0"/>
                <w:highlight w:val="none"/>
              </w:rPr>
            </w:pPr>
            <w:r>
              <w:rPr>
                <w:rFonts w:hint="eastAsia" w:ascii="宋体" w:hAnsi="宋体"/>
                <w:color w:val="auto"/>
                <w:kern w:val="0"/>
                <w:highlight w:val="none"/>
              </w:rPr>
              <w:t>终端应有计时单元，计时单元的日计时误差≤±1s/d。终端可接收主站或本地手持设备的时钟召测和校时命令。</w:t>
            </w:r>
          </w:p>
          <w:p>
            <w:pPr>
              <w:autoSpaceDE w:val="0"/>
              <w:autoSpaceDN w:val="0"/>
              <w:jc w:val="left"/>
              <w:rPr>
                <w:rFonts w:ascii="宋体" w:hAnsi="宋体"/>
                <w:color w:val="auto"/>
                <w:kern w:val="0"/>
                <w:highlight w:val="none"/>
              </w:rPr>
            </w:pPr>
            <w:r>
              <w:rPr>
                <w:rFonts w:hint="eastAsia" w:ascii="宋体" w:hAnsi="宋体"/>
                <w:color w:val="auto"/>
                <w:kern w:val="0"/>
                <w:highlight w:val="none"/>
              </w:rPr>
              <w:t>终端每天自动与电表时间比对，相差超过设定值时，则上报该电表时钟异常告警。</w:t>
            </w:r>
          </w:p>
          <w:p>
            <w:pPr>
              <w:autoSpaceDE w:val="0"/>
              <w:autoSpaceDN w:val="0"/>
              <w:jc w:val="left"/>
              <w:rPr>
                <w:rFonts w:ascii="宋体" w:hAnsi="宋体"/>
                <w:color w:val="auto"/>
                <w:kern w:val="0"/>
                <w:highlight w:val="none"/>
              </w:rPr>
            </w:pPr>
            <w:r>
              <w:rPr>
                <w:rFonts w:hint="eastAsia" w:ascii="宋体" w:hAnsi="宋体"/>
                <w:color w:val="auto"/>
                <w:kern w:val="0"/>
                <w:highlight w:val="none"/>
              </w:rPr>
              <w:t>2 终端参数</w:t>
            </w:r>
          </w:p>
          <w:p>
            <w:pPr>
              <w:autoSpaceDE w:val="0"/>
              <w:autoSpaceDN w:val="0"/>
              <w:jc w:val="left"/>
              <w:rPr>
                <w:rFonts w:ascii="宋体" w:hAnsi="宋体"/>
                <w:color w:val="auto"/>
                <w:kern w:val="0"/>
                <w:highlight w:val="none"/>
              </w:rPr>
            </w:pPr>
            <w:r>
              <w:rPr>
                <w:rFonts w:hint="eastAsia" w:ascii="宋体" w:hAnsi="宋体"/>
                <w:color w:val="auto"/>
                <w:kern w:val="0"/>
                <w:highlight w:val="none"/>
              </w:rPr>
              <w:t>应能由主站或本地对终端参数、通道参数、主站地址等进行设置和查询。</w:t>
            </w:r>
          </w:p>
          <w:p>
            <w:pPr>
              <w:autoSpaceDE w:val="0"/>
              <w:autoSpaceDN w:val="0"/>
              <w:jc w:val="left"/>
              <w:rPr>
                <w:rFonts w:ascii="宋体" w:hAnsi="宋体"/>
                <w:color w:val="auto"/>
                <w:kern w:val="0"/>
                <w:highlight w:val="none"/>
              </w:rPr>
            </w:pPr>
            <w:r>
              <w:rPr>
                <w:rFonts w:hint="eastAsia" w:ascii="宋体" w:hAnsi="宋体"/>
                <w:color w:val="auto"/>
                <w:kern w:val="0"/>
                <w:highlight w:val="none"/>
              </w:rPr>
              <w:t>3抄表参数</w:t>
            </w:r>
          </w:p>
          <w:p>
            <w:pPr>
              <w:autoSpaceDE w:val="0"/>
              <w:autoSpaceDN w:val="0"/>
              <w:jc w:val="left"/>
              <w:rPr>
                <w:rFonts w:ascii="宋体" w:hAnsi="宋体"/>
                <w:color w:val="auto"/>
                <w:kern w:val="0"/>
                <w:highlight w:val="none"/>
              </w:rPr>
            </w:pPr>
            <w:r>
              <w:rPr>
                <w:rFonts w:hint="eastAsia" w:ascii="宋体" w:hAnsi="宋体"/>
                <w:color w:val="auto"/>
                <w:kern w:val="0"/>
                <w:highlight w:val="none"/>
              </w:rPr>
              <w:t>终端应能远程和本地设置、查询电能表参数、抄表间隔、采集数据项等抄表参数。</w:t>
            </w:r>
          </w:p>
          <w:p>
            <w:pPr>
              <w:autoSpaceDE w:val="0"/>
              <w:autoSpaceDN w:val="0"/>
              <w:jc w:val="left"/>
              <w:rPr>
                <w:rFonts w:ascii="宋体" w:hAnsi="宋体"/>
                <w:color w:val="auto"/>
                <w:kern w:val="0"/>
                <w:highlight w:val="none"/>
              </w:rPr>
            </w:pPr>
            <w:r>
              <w:rPr>
                <w:rFonts w:ascii="宋体" w:hAnsi="宋体"/>
                <w:color w:val="auto"/>
                <w:kern w:val="0"/>
                <w:highlight w:val="none"/>
              </w:rPr>
              <w:t xml:space="preserve">4 </w:t>
            </w:r>
            <w:r>
              <w:rPr>
                <w:rFonts w:hint="eastAsia" w:ascii="宋体" w:hAnsi="宋体"/>
                <w:color w:val="auto"/>
                <w:kern w:val="0"/>
                <w:highlight w:val="none"/>
              </w:rPr>
              <w:t>其他参数</w:t>
            </w:r>
          </w:p>
          <w:p>
            <w:pPr>
              <w:autoSpaceDE w:val="0"/>
              <w:autoSpaceDN w:val="0"/>
              <w:jc w:val="left"/>
              <w:rPr>
                <w:rFonts w:ascii="宋体" w:hAnsi="宋体"/>
                <w:color w:val="auto"/>
                <w:kern w:val="0"/>
                <w:highlight w:val="none"/>
              </w:rPr>
            </w:pPr>
            <w:r>
              <w:rPr>
                <w:rFonts w:hint="eastAsia" w:ascii="宋体" w:hAnsi="宋体"/>
                <w:color w:val="auto"/>
                <w:kern w:val="0"/>
                <w:highlight w:val="none"/>
              </w:rPr>
              <w:t>应能对脉冲、遥信、告警等参数进行设置和查询。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32"/>
              </w:numPr>
              <w:autoSpaceDE w:val="0"/>
              <w:autoSpaceDN w:val="0"/>
              <w:jc w:val="left"/>
              <w:rPr>
                <w:rFonts w:ascii="宋体" w:hAnsi="宋体"/>
                <w:color w:val="auto"/>
                <w:kern w:val="0"/>
                <w:highlight w:val="none"/>
              </w:rPr>
            </w:pPr>
            <w:r>
              <w:rPr>
                <w:rFonts w:hint="eastAsia" w:ascii="宋体" w:hAnsi="宋体"/>
                <w:color w:val="auto"/>
                <w:kern w:val="0"/>
                <w:highlight w:val="none"/>
              </w:rPr>
              <w:t>在计时单元正常对时的情况下断开对时信号，24小时后观察计时单元对时误差。</w:t>
            </w:r>
          </w:p>
          <w:p>
            <w:pPr>
              <w:numPr>
                <w:ilvl w:val="0"/>
                <w:numId w:val="32"/>
              </w:numPr>
              <w:autoSpaceDE w:val="0"/>
              <w:autoSpaceDN w:val="0"/>
              <w:jc w:val="left"/>
              <w:rPr>
                <w:rFonts w:ascii="宋体" w:hAnsi="宋体"/>
                <w:color w:val="auto"/>
                <w:kern w:val="0"/>
                <w:highlight w:val="none"/>
              </w:rPr>
            </w:pPr>
            <w:r>
              <w:rPr>
                <w:rFonts w:hint="eastAsia" w:ascii="宋体" w:hAnsi="宋体"/>
                <w:color w:val="auto"/>
                <w:kern w:val="0"/>
                <w:highlight w:val="none"/>
              </w:rPr>
              <w:t>使用主站或本地手持设备向装置发送时钟召测和校时命令，检查是否正确响应。</w:t>
            </w:r>
          </w:p>
          <w:p>
            <w:pPr>
              <w:numPr>
                <w:ilvl w:val="0"/>
                <w:numId w:val="32"/>
              </w:numPr>
              <w:autoSpaceDE w:val="0"/>
              <w:autoSpaceDN w:val="0"/>
              <w:jc w:val="left"/>
              <w:rPr>
                <w:rFonts w:ascii="宋体" w:hAnsi="宋体"/>
                <w:color w:val="auto"/>
                <w:kern w:val="0"/>
                <w:highlight w:val="none"/>
              </w:rPr>
            </w:pPr>
            <w:r>
              <w:rPr>
                <w:rFonts w:hint="eastAsia" w:ascii="宋体" w:hAnsi="宋体"/>
                <w:color w:val="auto"/>
                <w:kern w:val="0"/>
                <w:highlight w:val="none"/>
              </w:rPr>
              <w:t>模拟电表与终端相差终端时间相差超过设定值时，检查装置是否上报该电表时钟异常告警。</w:t>
            </w:r>
          </w:p>
          <w:p>
            <w:pPr>
              <w:numPr>
                <w:ilvl w:val="0"/>
                <w:numId w:val="32"/>
              </w:numPr>
              <w:autoSpaceDE w:val="0"/>
              <w:autoSpaceDN w:val="0"/>
              <w:jc w:val="left"/>
              <w:rPr>
                <w:rFonts w:ascii="宋体" w:hAnsi="宋体"/>
                <w:color w:val="auto"/>
                <w:kern w:val="0"/>
                <w:highlight w:val="none"/>
              </w:rPr>
            </w:pPr>
            <w:r>
              <w:rPr>
                <w:rFonts w:hint="eastAsia" w:ascii="宋体" w:hAnsi="宋体"/>
                <w:color w:val="auto"/>
                <w:kern w:val="0"/>
                <w:highlight w:val="none"/>
              </w:rPr>
              <w:t>使用主站或本地对终端参数、通道参数、主站地址等进行设置和查询。</w:t>
            </w:r>
          </w:p>
          <w:p>
            <w:pPr>
              <w:numPr>
                <w:ilvl w:val="0"/>
                <w:numId w:val="32"/>
              </w:numPr>
              <w:autoSpaceDE w:val="0"/>
              <w:autoSpaceDN w:val="0"/>
              <w:jc w:val="left"/>
              <w:rPr>
                <w:rFonts w:ascii="宋体" w:hAnsi="宋体"/>
                <w:color w:val="auto"/>
                <w:kern w:val="0"/>
                <w:highlight w:val="none"/>
              </w:rPr>
            </w:pPr>
            <w:r>
              <w:rPr>
                <w:rFonts w:hint="eastAsia" w:ascii="宋体" w:hAnsi="宋体"/>
                <w:color w:val="auto"/>
                <w:kern w:val="0"/>
                <w:highlight w:val="none"/>
              </w:rPr>
              <w:t xml:space="preserve">检查终端是否能通过远程和本地设置、查询电能表参数、抄表间隔、采集数据项等抄表参数。 </w:t>
            </w:r>
          </w:p>
          <w:p>
            <w:pPr>
              <w:numPr>
                <w:ilvl w:val="0"/>
                <w:numId w:val="32"/>
              </w:numPr>
              <w:autoSpaceDE w:val="0"/>
              <w:autoSpaceDN w:val="0"/>
              <w:jc w:val="left"/>
              <w:rPr>
                <w:rFonts w:ascii="宋体" w:hAnsi="宋体"/>
                <w:color w:val="auto"/>
                <w:highlight w:val="none"/>
              </w:rPr>
            </w:pPr>
            <w:r>
              <w:rPr>
                <w:rFonts w:hint="eastAsia" w:ascii="宋体" w:hAnsi="宋体"/>
                <w:color w:val="auto"/>
                <w:kern w:val="0"/>
                <w:highlight w:val="none"/>
              </w:rPr>
              <w:t>检查终端是否能对脉冲、遥信、告警等参数进行设置和查询。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52" w:name="_Toc528273531"/>
      <w:r>
        <w:rPr>
          <w:rFonts w:hint="eastAsia"/>
          <w:color w:val="auto"/>
          <w:sz w:val="24"/>
          <w:szCs w:val="24"/>
          <w:highlight w:val="none"/>
        </w:rPr>
        <w:t>通信传输功能检验</w:t>
      </w:r>
      <w:bookmarkEnd w:id="15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通信传输功能检验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Emm05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11109001-2013 厂站电能量采集终端技术规范4.8.8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33"/>
              </w:numPr>
              <w:autoSpaceDE w:val="0"/>
              <w:autoSpaceDN w:val="0"/>
              <w:jc w:val="left"/>
              <w:rPr>
                <w:rFonts w:ascii="宋体" w:hAnsi="宋体"/>
                <w:color w:val="auto"/>
                <w:highlight w:val="none"/>
              </w:rPr>
            </w:pPr>
            <w:r>
              <w:rPr>
                <w:rFonts w:hint="eastAsia" w:ascii="宋体" w:hAnsi="宋体"/>
                <w:color w:val="auto"/>
                <w:highlight w:val="none"/>
              </w:rPr>
              <w:t>终端应具备DL/T645-1997、DL/T645-2007规约电能表的接入能力，电表规约宜支持IEC1107、DLMS、ABB、EDMI、ION、ANSI等国内外主流电表厂商以及南方电网范围内已使用的电表规约，支持电表规约库升级。</w:t>
            </w:r>
          </w:p>
          <w:p>
            <w:pPr>
              <w:numPr>
                <w:ilvl w:val="0"/>
                <w:numId w:val="33"/>
              </w:numPr>
              <w:autoSpaceDE w:val="0"/>
              <w:autoSpaceDN w:val="0"/>
              <w:jc w:val="left"/>
              <w:rPr>
                <w:rFonts w:ascii="宋体" w:hAnsi="宋体"/>
                <w:color w:val="auto"/>
                <w:highlight w:val="none"/>
              </w:rPr>
            </w:pPr>
            <w:r>
              <w:rPr>
                <w:rFonts w:hint="eastAsia" w:ascii="宋体" w:hAnsi="宋体"/>
                <w:color w:val="auto"/>
                <w:highlight w:val="none"/>
              </w:rPr>
              <w:t>终端应采用《中国南方电网有限责任公司计量自动化终端上行通信规约》与主站通信。</w:t>
            </w:r>
          </w:p>
          <w:p>
            <w:pPr>
              <w:numPr>
                <w:ilvl w:val="0"/>
                <w:numId w:val="33"/>
              </w:numPr>
              <w:autoSpaceDE w:val="0"/>
              <w:autoSpaceDN w:val="0"/>
              <w:jc w:val="left"/>
              <w:rPr>
                <w:rFonts w:ascii="宋体" w:hAnsi="宋体"/>
                <w:color w:val="auto"/>
                <w:kern w:val="0"/>
                <w:highlight w:val="none"/>
              </w:rPr>
            </w:pPr>
            <w:r>
              <w:rPr>
                <w:rFonts w:hint="eastAsia" w:ascii="宋体" w:hAnsi="宋体"/>
                <w:color w:val="auto"/>
                <w:highlight w:val="none"/>
              </w:rPr>
              <w:t>终端支持以不同的通信端口和多个不同主站同时通信的功能，并可按照不同主站的召测数据命令上传相应的数据内容。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34"/>
              </w:numPr>
              <w:autoSpaceDE w:val="0"/>
              <w:autoSpaceDN w:val="0"/>
              <w:jc w:val="left"/>
              <w:rPr>
                <w:rFonts w:ascii="宋体" w:hAnsi="宋体"/>
                <w:color w:val="auto"/>
                <w:highlight w:val="none"/>
              </w:rPr>
            </w:pPr>
            <w:r>
              <w:rPr>
                <w:rFonts w:hint="eastAsia" w:ascii="宋体" w:hAnsi="宋体"/>
                <w:color w:val="auto"/>
                <w:highlight w:val="none"/>
              </w:rPr>
              <w:t>检查并验证终端能够接入的电表规约和主站通信规约。</w:t>
            </w:r>
          </w:p>
          <w:p>
            <w:pPr>
              <w:numPr>
                <w:ilvl w:val="0"/>
                <w:numId w:val="34"/>
              </w:numPr>
              <w:autoSpaceDE w:val="0"/>
              <w:autoSpaceDN w:val="0"/>
              <w:jc w:val="left"/>
              <w:rPr>
                <w:rFonts w:ascii="宋体" w:hAnsi="宋体"/>
                <w:color w:val="auto"/>
                <w:highlight w:val="none"/>
              </w:rPr>
            </w:pPr>
            <w:r>
              <w:rPr>
                <w:rFonts w:hint="eastAsia" w:ascii="宋体" w:hAnsi="宋体"/>
                <w:color w:val="auto"/>
                <w:highlight w:val="none"/>
              </w:rPr>
              <w:t>模拟不同的主站通过不同的通信端口召唤不同的数据，检查终端是否正确响应相应的数据内容。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153" w:name="_Toc528273532"/>
      <w:bookmarkStart w:id="154" w:name="_Toc49258169"/>
      <w:r>
        <w:rPr>
          <w:color w:val="auto"/>
          <w:sz w:val="24"/>
          <w:szCs w:val="24"/>
          <w:highlight w:val="none"/>
        </w:rPr>
        <w:t>相量数据集中器</w:t>
      </w:r>
      <w:r>
        <w:rPr>
          <w:rFonts w:hint="eastAsia"/>
          <w:color w:val="auto"/>
          <w:sz w:val="24"/>
          <w:szCs w:val="24"/>
          <w:highlight w:val="none"/>
        </w:rPr>
        <w:t>功能检验</w:t>
      </w:r>
      <w:bookmarkEnd w:id="153"/>
      <w:bookmarkEnd w:id="154"/>
    </w:p>
    <w:p>
      <w:pPr>
        <w:pStyle w:val="5"/>
        <w:rPr>
          <w:color w:val="auto"/>
          <w:sz w:val="24"/>
          <w:szCs w:val="24"/>
          <w:highlight w:val="none"/>
        </w:rPr>
      </w:pPr>
      <w:r>
        <w:rPr>
          <w:rFonts w:hint="eastAsia"/>
          <w:color w:val="auto"/>
          <w:sz w:val="24"/>
          <w:szCs w:val="24"/>
          <w:highlight w:val="none"/>
        </w:rPr>
        <w:t>数据汇集功能检验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数据</w:t>
            </w:r>
            <w:r>
              <w:rPr>
                <w:rFonts w:ascii="宋体" w:hAnsi="宋体"/>
                <w:color w:val="auto"/>
                <w:highlight w:val="none"/>
              </w:rPr>
              <w:t>汇</w:t>
            </w:r>
            <w:r>
              <w:rPr>
                <w:rFonts w:hint="eastAsia" w:ascii="宋体" w:hAnsi="宋体"/>
                <w:color w:val="auto"/>
                <w:highlight w:val="none"/>
              </w:rPr>
              <w:t>集功能检验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Pmu01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 7.1.6</w:t>
            </w:r>
          </w:p>
          <w:p>
            <w:pPr>
              <w:rPr>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5.1</w:t>
            </w:r>
          </w:p>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应能同步汇集各P</w:t>
            </w:r>
            <w:r>
              <w:rPr>
                <w:rFonts w:ascii="宋体" w:hAnsi="宋体"/>
                <w:color w:val="auto"/>
                <w:kern w:val="0"/>
                <w:highlight w:val="none"/>
              </w:rPr>
              <w:t>MU装置</w:t>
            </w:r>
            <w:r>
              <w:rPr>
                <w:rFonts w:hint="eastAsia" w:ascii="宋体" w:hAnsi="宋体"/>
                <w:color w:val="auto"/>
                <w:kern w:val="0"/>
                <w:highlight w:val="none"/>
              </w:rPr>
              <w:t>测量安装点的三相基波电压、三相基波电流、电压电流的基波正序相量、频率（每台发电机和每条线路都应至少测量一个频率）和开关量信号。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检查并验证远动机能够</w:t>
            </w:r>
            <w:r>
              <w:rPr>
                <w:rFonts w:ascii="宋体" w:hAnsi="宋体"/>
                <w:color w:val="auto"/>
                <w:highlight w:val="none"/>
              </w:rPr>
              <w:t>汇</w:t>
            </w:r>
            <w:r>
              <w:rPr>
                <w:rFonts w:hint="eastAsia" w:ascii="宋体" w:hAnsi="宋体"/>
                <w:color w:val="auto"/>
                <w:highlight w:val="none"/>
              </w:rPr>
              <w:t>集不同PMU的相关数据，包括</w:t>
            </w:r>
            <w:r>
              <w:rPr>
                <w:rFonts w:hint="eastAsia" w:ascii="宋体" w:hAnsi="宋体"/>
                <w:color w:val="auto"/>
                <w:kern w:val="0"/>
                <w:highlight w:val="none"/>
              </w:rPr>
              <w:t>三相基波电压、三相基波电流、电压电流的基波正序相量、频率（每台发电机和每条线路都应至少测量一个频率）和开关量信号等。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55" w:name="_Toc528273534"/>
      <w:r>
        <w:rPr>
          <w:rFonts w:hint="eastAsia"/>
          <w:color w:val="auto"/>
          <w:sz w:val="24"/>
          <w:szCs w:val="24"/>
          <w:highlight w:val="none"/>
        </w:rPr>
        <w:t>实时通信功能检验</w:t>
      </w:r>
      <w:bookmarkEnd w:id="15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实时通信功能检验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Pmu02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智能远动网关技术规范7.1.6</w:t>
            </w:r>
          </w:p>
          <w:p>
            <w:pPr>
              <w:rPr>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5.4</w:t>
            </w:r>
          </w:p>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35"/>
              </w:numPr>
              <w:autoSpaceDE w:val="0"/>
              <w:autoSpaceDN w:val="0"/>
              <w:jc w:val="left"/>
              <w:rPr>
                <w:rFonts w:ascii="宋体" w:hAnsi="宋体"/>
                <w:color w:val="auto"/>
                <w:kern w:val="0"/>
                <w:highlight w:val="none"/>
                <w:lang w:val="zh-CN"/>
              </w:rPr>
            </w:pPr>
            <w:r>
              <w:rPr>
                <w:rFonts w:hint="eastAsia" w:ascii="宋体" w:hAnsi="宋体"/>
                <w:color w:val="auto"/>
                <w:kern w:val="0"/>
                <w:highlight w:val="none"/>
                <w:lang w:val="zh-CN"/>
              </w:rPr>
              <w:t>应能向主站上传子站配置信息，并根据主站下发的配置信息将所需的动态数据实时传送到主站。</w:t>
            </w:r>
          </w:p>
          <w:p>
            <w:pPr>
              <w:numPr>
                <w:ilvl w:val="0"/>
                <w:numId w:val="35"/>
              </w:numPr>
              <w:autoSpaceDE w:val="0"/>
              <w:autoSpaceDN w:val="0"/>
              <w:jc w:val="left"/>
              <w:rPr>
                <w:rFonts w:ascii="宋体" w:hAnsi="宋体"/>
                <w:color w:val="auto"/>
                <w:kern w:val="0"/>
                <w:highlight w:val="none"/>
                <w:lang w:val="zh-CN"/>
              </w:rPr>
            </w:pPr>
            <w:r>
              <w:rPr>
                <w:rFonts w:hint="eastAsia" w:ascii="宋体" w:hAnsi="宋体"/>
                <w:color w:val="auto"/>
                <w:kern w:val="0"/>
                <w:highlight w:val="none"/>
                <w:lang w:val="zh-CN"/>
              </w:rPr>
              <w:t>使用调度数据网通道与主站通信时，管理通道和数据通道承载的实时数据使用调度数据网实时VPN传输，文件通道承载离线数据使用调度数据网非实时VPN传输。</w:t>
            </w:r>
          </w:p>
          <w:p>
            <w:pPr>
              <w:pStyle w:val="80"/>
              <w:numPr>
                <w:ilvl w:val="0"/>
                <w:numId w:val="35"/>
              </w:numPr>
              <w:autoSpaceDE w:val="0"/>
              <w:autoSpaceDN w:val="0"/>
              <w:ind w:firstLineChars="0"/>
              <w:jc w:val="left"/>
              <w:rPr>
                <w:rFonts w:ascii="宋体" w:hAnsi="宋体"/>
                <w:color w:val="auto"/>
                <w:kern w:val="0"/>
                <w:highlight w:val="none"/>
                <w:lang w:val="zh-CN"/>
              </w:rPr>
            </w:pPr>
            <w:r>
              <w:rPr>
                <w:rFonts w:hint="eastAsia" w:ascii="宋体" w:hAnsi="宋体"/>
                <w:color w:val="auto"/>
                <w:kern w:val="0"/>
                <w:szCs w:val="20"/>
                <w:highlight w:val="none"/>
                <w:lang w:val="zh-CN"/>
              </w:rPr>
              <w:t>在与主站建立通信的过程中，子站作为服务端，主站作为客户端，由主站发起通信连接。</w:t>
            </w:r>
          </w:p>
          <w:p>
            <w:pPr>
              <w:pStyle w:val="80"/>
              <w:numPr>
                <w:ilvl w:val="0"/>
                <w:numId w:val="35"/>
              </w:numPr>
              <w:autoSpaceDE w:val="0"/>
              <w:autoSpaceDN w:val="0"/>
              <w:ind w:firstLineChars="0"/>
              <w:jc w:val="left"/>
              <w:rPr>
                <w:rFonts w:ascii="宋体" w:hAnsi="宋体"/>
                <w:color w:val="auto"/>
                <w:kern w:val="0"/>
                <w:highlight w:val="none"/>
                <w:lang w:val="zh-CN"/>
              </w:rPr>
            </w:pPr>
            <w:r>
              <w:rPr>
                <w:rFonts w:hint="eastAsia" w:ascii="宋体" w:hAnsi="宋体"/>
                <w:color w:val="auto"/>
                <w:kern w:val="0"/>
                <w:highlight w:val="none"/>
                <w:lang w:val="zh-CN"/>
              </w:rPr>
              <w:t>装置应能和多个相关主站通信，可支持不少于</w:t>
            </w:r>
            <w:r>
              <w:rPr>
                <w:rFonts w:ascii="宋体" w:hAnsi="宋体"/>
                <w:color w:val="auto"/>
                <w:kern w:val="0"/>
                <w:highlight w:val="none"/>
                <w:lang w:val="zh-CN"/>
              </w:rPr>
              <w:t>1</w:t>
            </w:r>
            <w:r>
              <w:rPr>
                <w:rFonts w:hint="eastAsia" w:ascii="宋体" w:hAnsi="宋体"/>
                <w:color w:val="auto"/>
                <w:kern w:val="0"/>
                <w:highlight w:val="none"/>
                <w:lang w:val="zh-CN"/>
              </w:rPr>
              <w:t>8个主站IP。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36"/>
              </w:numPr>
              <w:autoSpaceDE w:val="0"/>
              <w:autoSpaceDN w:val="0"/>
              <w:jc w:val="left"/>
              <w:rPr>
                <w:rFonts w:ascii="宋体" w:hAnsi="宋体"/>
                <w:color w:val="auto"/>
                <w:highlight w:val="none"/>
              </w:rPr>
            </w:pPr>
            <w:r>
              <w:rPr>
                <w:rFonts w:ascii="宋体" w:hAnsi="宋体"/>
                <w:color w:val="auto"/>
                <w:highlight w:val="none"/>
              </w:rPr>
              <w:t>在主站端向远动机下发配置召唤命令并检查上送的实时数据是否与配置一致。</w:t>
            </w:r>
          </w:p>
          <w:p>
            <w:pPr>
              <w:numPr>
                <w:ilvl w:val="0"/>
                <w:numId w:val="36"/>
              </w:numPr>
              <w:autoSpaceDE w:val="0"/>
              <w:autoSpaceDN w:val="0"/>
              <w:jc w:val="left"/>
              <w:rPr>
                <w:rFonts w:ascii="宋体" w:hAnsi="宋体"/>
                <w:color w:val="auto"/>
                <w:highlight w:val="none"/>
              </w:rPr>
            </w:pPr>
            <w:r>
              <w:rPr>
                <w:rFonts w:hint="eastAsia" w:ascii="宋体" w:hAnsi="宋体"/>
                <w:color w:val="auto"/>
                <w:highlight w:val="none"/>
              </w:rPr>
              <w:t>配置管理/数据通道和文件通道使用不同的VPN通道，检查远动机能否正确上送数据。</w:t>
            </w:r>
          </w:p>
          <w:p>
            <w:pPr>
              <w:numPr>
                <w:ilvl w:val="0"/>
                <w:numId w:val="36"/>
              </w:numPr>
              <w:autoSpaceDE w:val="0"/>
              <w:autoSpaceDN w:val="0"/>
              <w:jc w:val="left"/>
              <w:rPr>
                <w:rFonts w:ascii="宋体" w:hAnsi="宋体"/>
                <w:color w:val="auto"/>
                <w:highlight w:val="none"/>
              </w:rPr>
            </w:pPr>
            <w:r>
              <w:rPr>
                <w:rFonts w:hint="eastAsia" w:ascii="宋体" w:hAnsi="宋体"/>
                <w:color w:val="auto"/>
                <w:highlight w:val="none"/>
              </w:rPr>
              <w:t>检查远动机是否作为服务端上送数据。</w:t>
            </w:r>
          </w:p>
          <w:p>
            <w:pPr>
              <w:numPr>
                <w:ilvl w:val="0"/>
                <w:numId w:val="36"/>
              </w:numPr>
              <w:autoSpaceDE w:val="0"/>
              <w:autoSpaceDN w:val="0"/>
              <w:jc w:val="left"/>
              <w:rPr>
                <w:rFonts w:ascii="宋体" w:hAnsi="宋体"/>
                <w:color w:val="auto"/>
                <w:highlight w:val="none"/>
              </w:rPr>
            </w:pPr>
            <w:r>
              <w:rPr>
                <w:rFonts w:hint="eastAsia" w:ascii="宋体" w:hAnsi="宋体"/>
                <w:color w:val="auto"/>
                <w:highlight w:val="none"/>
              </w:rPr>
              <w:t>配置18个主站与远动机进行通信，检查数据上送是否正确。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56" w:name="_Toc528273535"/>
      <w:r>
        <w:rPr>
          <w:rFonts w:hint="eastAsia"/>
          <w:color w:val="auto"/>
          <w:sz w:val="24"/>
          <w:szCs w:val="24"/>
          <w:highlight w:val="none"/>
        </w:rPr>
        <w:t>动态记录功能检验</w:t>
      </w:r>
      <w:bookmarkEnd w:id="15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动态记录功能检验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Pmu03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数据集中器应能连续记录所测全部接入量信号，包括电压电流基波正序相量、三相电压基波相量、三相电流基波相量、模拟量、频率及开关状态信号等。</w:t>
            </w:r>
          </w:p>
          <w:p>
            <w:pPr>
              <w:autoSpaceDE w:val="0"/>
              <w:autoSpaceDN w:val="0"/>
              <w:jc w:val="left"/>
              <w:rPr>
                <w:rFonts w:ascii="宋体" w:hAnsi="宋体"/>
                <w:color w:val="auto"/>
                <w:kern w:val="0"/>
                <w:highlight w:val="none"/>
              </w:rPr>
            </w:pPr>
            <w:r>
              <w:rPr>
                <w:rFonts w:hint="eastAsia" w:ascii="宋体" w:hAnsi="宋体"/>
                <w:color w:val="auto"/>
                <w:kern w:val="0"/>
                <w:highlight w:val="none"/>
              </w:rPr>
              <w:t>记录的数据采用自动循环覆盖的方式，应有足够的安全性。不应因直流电源中断而丢失已记录的数据；不应因外部访问而删除记录数据；不应提供人工删除和修改记录数据的功能。</w:t>
            </w:r>
          </w:p>
          <w:p>
            <w:pPr>
              <w:autoSpaceDE w:val="0"/>
              <w:autoSpaceDN w:val="0"/>
              <w:jc w:val="left"/>
              <w:rPr>
                <w:rFonts w:ascii="宋体" w:hAnsi="宋体"/>
                <w:color w:val="auto"/>
                <w:kern w:val="0"/>
                <w:highlight w:val="none"/>
                <w:lang w:val="zh-CN"/>
              </w:rPr>
            </w:pPr>
            <w:r>
              <w:rPr>
                <w:rFonts w:ascii="宋体" w:hAnsi="宋体"/>
                <w:color w:val="auto"/>
                <w:kern w:val="0"/>
                <w:highlight w:val="none"/>
              </w:rPr>
              <w:t>应能动态记录至少</w:t>
            </w:r>
            <w:r>
              <w:rPr>
                <w:rFonts w:hint="eastAsia" w:ascii="宋体" w:hAnsi="宋体"/>
                <w:color w:val="auto"/>
                <w:kern w:val="0"/>
                <w:highlight w:val="none"/>
              </w:rPr>
              <w:t>256个相量、256个模拟量、256个开关量，记录速率为100次/s，保存时间不小于14天。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配置远动机动态接入的数据个数，验证数据记录速率、记录容量和覆写策略。</w:t>
            </w:r>
          </w:p>
          <w:p>
            <w:pPr>
              <w:autoSpaceDE w:val="0"/>
              <w:autoSpaceDN w:val="0"/>
              <w:jc w:val="left"/>
              <w:rPr>
                <w:rFonts w:ascii="宋体" w:hAnsi="宋体"/>
                <w:color w:val="auto"/>
                <w:highlight w:val="none"/>
              </w:rPr>
            </w:pPr>
            <w:r>
              <w:rPr>
                <w:rFonts w:ascii="宋体" w:hAnsi="宋体"/>
                <w:color w:val="auto"/>
                <w:highlight w:val="none"/>
              </w:rPr>
              <w:t>模拟远动机正常工作时失电，上电后检查已记录的数据是否丢失。</w:t>
            </w:r>
          </w:p>
          <w:p>
            <w:pPr>
              <w:autoSpaceDE w:val="0"/>
              <w:autoSpaceDN w:val="0"/>
              <w:jc w:val="left"/>
              <w:rPr>
                <w:rFonts w:ascii="宋体" w:hAnsi="宋体"/>
                <w:color w:val="auto"/>
                <w:highlight w:val="none"/>
              </w:rPr>
            </w:pPr>
            <w:r>
              <w:rPr>
                <w:rFonts w:ascii="宋体" w:hAnsi="宋体"/>
                <w:color w:val="auto"/>
                <w:highlight w:val="none"/>
              </w:rPr>
              <w:t>通过外部访问和人工操作，检查是否有删除记录数据的功能。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rPr>
          <w:color w:val="auto"/>
          <w:highlight w:val="none"/>
        </w:rPr>
      </w:pPr>
    </w:p>
    <w:p>
      <w:pPr>
        <w:pStyle w:val="5"/>
        <w:rPr>
          <w:color w:val="auto"/>
          <w:sz w:val="24"/>
          <w:szCs w:val="24"/>
          <w:highlight w:val="none"/>
        </w:rPr>
      </w:pPr>
      <w:r>
        <w:rPr>
          <w:color w:val="auto"/>
          <w:sz w:val="24"/>
          <w:szCs w:val="24"/>
          <w:highlight w:val="none"/>
        </w:rPr>
        <w:t>离线数据召唤</w:t>
      </w:r>
      <w:r>
        <w:rPr>
          <w:rFonts w:hint="eastAsia"/>
          <w:color w:val="auto"/>
          <w:sz w:val="24"/>
          <w:szCs w:val="24"/>
          <w:highlight w:val="none"/>
        </w:rPr>
        <w:t>功能检验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离线数据召唤</w:t>
            </w:r>
            <w:r>
              <w:rPr>
                <w:rFonts w:hint="eastAsia" w:ascii="宋体" w:hAnsi="宋体"/>
                <w:color w:val="auto"/>
                <w:highlight w:val="none"/>
              </w:rPr>
              <w:t>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Pmu04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智能远动网关技术规范7.1.6</w:t>
            </w:r>
          </w:p>
          <w:p>
            <w:pPr>
              <w:rPr>
                <w:rFonts w:ascii="宋体" w:hAnsi="宋体"/>
                <w:color w:val="auto"/>
                <w:highlight w:val="none"/>
              </w:rPr>
            </w:pPr>
            <w:r>
              <w:rPr>
                <w:rFonts w:hint="eastAsia" w:ascii="宋体" w:hAnsi="宋体"/>
                <w:color w:val="auto"/>
                <w:highlight w:val="none"/>
              </w:rPr>
              <w:t>Q/CSG 1203052-2018 南方电网相量测量装置(PMU)技术规范</w:t>
            </w:r>
            <w:r>
              <w:rPr>
                <w:rFonts w:ascii="宋体" w:hAnsi="宋体"/>
                <w:color w:val="auto"/>
                <w:highlight w:val="none"/>
              </w:rPr>
              <w:t xml:space="preserve">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kern w:val="0"/>
                <w:highlight w:val="none"/>
              </w:rPr>
            </w:pPr>
            <w:r>
              <w:rPr>
                <w:rFonts w:hint="eastAsia" w:ascii="宋体" w:hAnsi="宋体"/>
                <w:color w:val="auto"/>
                <w:kern w:val="0"/>
                <w:highlight w:val="none"/>
              </w:rPr>
              <w:t>装置应具备动态数据记录、连续录波记录的离线召唤功能，接收主站连续录波召唤命令时从P</w:t>
            </w:r>
            <w:r>
              <w:rPr>
                <w:rFonts w:ascii="宋体" w:hAnsi="宋体"/>
                <w:color w:val="auto"/>
                <w:kern w:val="0"/>
                <w:highlight w:val="none"/>
              </w:rPr>
              <w:t>MU装置读取连续录波数据并向主站转发</w:t>
            </w:r>
            <w:r>
              <w:rPr>
                <w:rFonts w:hint="eastAsia" w:ascii="宋体" w:hAnsi="宋体"/>
                <w:color w:val="auto"/>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color w:val="auto"/>
                <w:szCs w:val="22"/>
                <w:highlight w:val="none"/>
              </w:rPr>
              <w:t>模拟主站分别发送动作数据记录和连续录波召唤命令，查看子站是否正确上送相应的记录数据。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rPr>
          <w:color w:val="auto"/>
          <w:highlight w:val="none"/>
        </w:rPr>
      </w:pPr>
    </w:p>
    <w:p>
      <w:pPr>
        <w:pStyle w:val="3"/>
        <w:rPr>
          <w:color w:val="auto"/>
          <w:sz w:val="24"/>
          <w:szCs w:val="24"/>
          <w:highlight w:val="none"/>
        </w:rPr>
      </w:pPr>
      <w:bookmarkStart w:id="157" w:name="_Toc49258170"/>
      <w:r>
        <w:rPr>
          <w:color w:val="auto"/>
          <w:sz w:val="24"/>
          <w:szCs w:val="24"/>
          <w:highlight w:val="none"/>
        </w:rPr>
        <w:t>告警直传</w:t>
      </w:r>
      <w:r>
        <w:rPr>
          <w:rFonts w:hint="eastAsia"/>
          <w:color w:val="auto"/>
          <w:sz w:val="24"/>
          <w:szCs w:val="24"/>
          <w:highlight w:val="none"/>
        </w:rPr>
        <w:t>功能检验</w:t>
      </w:r>
      <w:bookmarkEnd w:id="157"/>
    </w:p>
    <w:p>
      <w:pPr>
        <w:pStyle w:val="5"/>
        <w:rPr>
          <w:color w:val="auto"/>
          <w:sz w:val="24"/>
          <w:szCs w:val="24"/>
          <w:highlight w:val="none"/>
        </w:rPr>
      </w:pPr>
      <w:r>
        <w:rPr>
          <w:rFonts w:hint="eastAsia"/>
          <w:color w:val="auto"/>
          <w:sz w:val="24"/>
          <w:szCs w:val="24"/>
          <w:highlight w:val="none"/>
        </w:rPr>
        <w:t>告警直传检验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告警直传检验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Alm01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应能将监控系统的告警信息采用告警直传的方式上送主站。</w:t>
            </w:r>
          </w:p>
          <w:p>
            <w:pPr>
              <w:jc w:val="left"/>
              <w:rPr>
                <w:rFonts w:ascii="宋体" w:hAnsi="宋体"/>
                <w:color w:val="auto"/>
                <w:kern w:val="0"/>
                <w:highlight w:val="none"/>
              </w:rPr>
            </w:pPr>
            <w:r>
              <w:rPr>
                <w:rFonts w:hint="eastAsia" w:ascii="宋体" w:hAnsi="宋体"/>
                <w:color w:val="auto"/>
                <w:kern w:val="0"/>
                <w:highlight w:val="none"/>
              </w:rPr>
              <w:t>2）告警直传至少应支持同时上送8个主站。</w:t>
            </w:r>
          </w:p>
          <w:p>
            <w:pPr>
              <w:jc w:val="left"/>
              <w:rPr>
                <w:rFonts w:ascii="宋体" w:hAnsi="宋体"/>
                <w:color w:val="auto"/>
                <w:kern w:val="0"/>
                <w:highlight w:val="none"/>
              </w:rPr>
            </w:pPr>
            <w:r>
              <w:rPr>
                <w:rFonts w:hint="eastAsia" w:ascii="宋体" w:hAnsi="宋体"/>
                <w:color w:val="auto"/>
                <w:kern w:val="0"/>
                <w:highlight w:val="none"/>
              </w:rPr>
              <w:t>3）链路中断后恢复，能够补传链路中断期间规定时间内的告警信息，事故类和异常类告警信息优先补传。装置中断期间缓存的事件记录数应可配置。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1</w:t>
            </w:r>
            <w:r>
              <w:rPr>
                <w:rFonts w:ascii="宋体" w:hAnsi="宋体"/>
                <w:color w:val="auto"/>
                <w:highlight w:val="none"/>
              </w:rPr>
              <w:t>）</w:t>
            </w:r>
            <w:r>
              <w:rPr>
                <w:rFonts w:hint="eastAsia" w:ascii="宋体" w:hAnsi="宋体"/>
                <w:color w:val="auto"/>
                <w:highlight w:val="none"/>
              </w:rPr>
              <w:t>模拟监控系统触发告警信息，从主站查看是否收到告警信息，检查信息格式及内容是否满足要求。</w:t>
            </w:r>
          </w:p>
          <w:p>
            <w:pPr>
              <w:autoSpaceDE w:val="0"/>
              <w:autoSpaceDN w:val="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）根据装置对多主站的支持数量，同时连接8个或以上主站，模拟监控系统触发告警信息，查看各主站是否收到告警信息，检查信息格式及内容是否满足要求。</w:t>
            </w:r>
          </w:p>
          <w:p>
            <w:pPr>
              <w:autoSpaceDE w:val="0"/>
              <w:autoSpaceDN w:val="0"/>
              <w:jc w:val="left"/>
              <w:rPr>
                <w:rFonts w:ascii="宋体" w:hAnsi="宋体"/>
                <w:color w:val="auto"/>
                <w:kern w:val="0"/>
                <w:highlight w:val="none"/>
              </w:rPr>
            </w:pPr>
            <w:r>
              <w:rPr>
                <w:rFonts w:ascii="宋体" w:hAnsi="宋体"/>
                <w:color w:val="auto"/>
                <w:highlight w:val="none"/>
              </w:rPr>
              <w:t>3）根据</w:t>
            </w:r>
            <w:r>
              <w:rPr>
                <w:rFonts w:hint="eastAsia" w:ascii="宋体" w:hAnsi="宋体"/>
                <w:color w:val="auto"/>
                <w:kern w:val="0"/>
                <w:highlight w:val="none"/>
              </w:rPr>
              <w:t>装置支持的缓存事件最大条目数配置中断期间缓存的事件记录数，</w:t>
            </w:r>
            <w:r>
              <w:rPr>
                <w:rFonts w:ascii="宋体" w:hAnsi="宋体"/>
                <w:color w:val="auto"/>
                <w:highlight w:val="none"/>
              </w:rPr>
              <w:t>断开智能远动机与主站的通信连接，模拟</w:t>
            </w:r>
            <w:r>
              <w:rPr>
                <w:rFonts w:hint="eastAsia" w:ascii="宋体" w:hAnsi="宋体"/>
                <w:color w:val="auto"/>
                <w:highlight w:val="none"/>
              </w:rPr>
              <w:t>监控系统触发各类告警信息达到或超过</w:t>
            </w:r>
            <w:r>
              <w:rPr>
                <w:rFonts w:hint="eastAsia" w:ascii="宋体" w:hAnsi="宋体"/>
                <w:color w:val="auto"/>
                <w:kern w:val="0"/>
                <w:highlight w:val="none"/>
              </w:rPr>
              <w:t>装置支持的缓存事件最大条目数</w:t>
            </w:r>
            <w:r>
              <w:rPr>
                <w:rFonts w:hint="eastAsia" w:ascii="宋体" w:hAnsi="宋体"/>
                <w:color w:val="auto"/>
                <w:highlight w:val="none"/>
              </w:rPr>
              <w:t>，在规定的时间内恢复通信连接，检查中断期间的告警信息是否补传、告警条目数是否与配置一致，事</w:t>
            </w:r>
            <w:r>
              <w:rPr>
                <w:rFonts w:hint="eastAsia" w:ascii="宋体" w:hAnsi="宋体"/>
                <w:color w:val="auto"/>
                <w:kern w:val="0"/>
                <w:highlight w:val="none"/>
              </w:rPr>
              <w:t>故类和异常类告警信息是否优先补传。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考察项，测试时规定的时间为</w:t>
            </w:r>
            <w:r>
              <w:rPr>
                <w:rFonts w:hint="eastAsia" w:ascii="宋体" w:hAnsi="宋体"/>
                <w:color w:val="auto"/>
                <w:highlight w:val="none"/>
              </w:rPr>
              <w:t>5</w:t>
            </w:r>
            <w:r>
              <w:rPr>
                <w:rFonts w:ascii="宋体" w:hAnsi="宋体"/>
                <w:color w:val="auto"/>
                <w:highlight w:val="none"/>
              </w:rPr>
              <w:t>min。</w:t>
            </w:r>
          </w:p>
        </w:tc>
      </w:tr>
    </w:tbl>
    <w:p>
      <w:pPr>
        <w:rPr>
          <w:color w:val="auto"/>
          <w:highlight w:val="none"/>
        </w:rPr>
      </w:pPr>
    </w:p>
    <w:p>
      <w:pPr>
        <w:pStyle w:val="5"/>
        <w:rPr>
          <w:color w:val="auto"/>
          <w:sz w:val="24"/>
          <w:szCs w:val="24"/>
          <w:highlight w:val="none"/>
        </w:rPr>
      </w:pPr>
      <w:r>
        <w:rPr>
          <w:rFonts w:hint="eastAsia"/>
          <w:color w:val="auto"/>
          <w:sz w:val="24"/>
          <w:szCs w:val="24"/>
          <w:highlight w:val="none"/>
        </w:rPr>
        <w:t>告警传输时间检验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告警传输时间检验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A</w:t>
            </w:r>
            <w:r>
              <w:rPr>
                <w:rFonts w:ascii="宋体" w:hAnsi="宋体"/>
                <w:color w:val="auto"/>
                <w:highlight w:val="none"/>
              </w:rPr>
              <w:t>lm02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kern w:val="0"/>
                <w:highlight w:val="none"/>
              </w:rPr>
            </w:pPr>
            <w:r>
              <w:rPr>
                <w:rFonts w:ascii="宋体" w:hAnsi="宋体"/>
                <w:color w:val="auto"/>
                <w:kern w:val="0"/>
                <w:highlight w:val="none"/>
              </w:rPr>
              <w:t>从厂站监控系统获取告警信息到主站</w:t>
            </w:r>
            <w:r>
              <w:rPr>
                <w:rFonts w:hint="eastAsia" w:ascii="宋体" w:hAnsi="宋体"/>
                <w:color w:val="auto"/>
                <w:kern w:val="0"/>
                <w:highlight w:val="none"/>
              </w:rPr>
              <w:t>显示</w:t>
            </w:r>
            <w:r>
              <w:rPr>
                <w:rFonts w:ascii="宋体" w:hAnsi="宋体"/>
                <w:color w:val="auto"/>
                <w:kern w:val="0"/>
                <w:highlight w:val="none"/>
              </w:rPr>
              <w:t>时间≤</w:t>
            </w:r>
            <w:r>
              <w:rPr>
                <w:rFonts w:hint="eastAsia" w:ascii="宋体" w:hAnsi="宋体"/>
                <w:color w:val="auto"/>
                <w:kern w:val="0"/>
                <w:highlight w:val="none"/>
              </w:rPr>
              <w:t>3秒。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1）模拟监控系统触发告警信息并开始计时；</w:t>
            </w:r>
          </w:p>
          <w:p>
            <w:pPr>
              <w:autoSpaceDE w:val="0"/>
              <w:autoSpaceDN w:val="0"/>
              <w:jc w:val="left"/>
              <w:rPr>
                <w:rFonts w:ascii="宋体" w:hAnsi="宋体"/>
                <w:color w:val="auto"/>
                <w:highlight w:val="none"/>
              </w:rPr>
            </w:pPr>
            <w:r>
              <w:rPr>
                <w:rFonts w:hint="eastAsia" w:ascii="宋体" w:hAnsi="宋体"/>
                <w:color w:val="auto"/>
                <w:highlight w:val="none"/>
              </w:rPr>
              <w:t>2）从主站查看收到告警信息时停止计时，计算告警信息传输时间。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考察项</w:t>
            </w:r>
          </w:p>
        </w:tc>
      </w:tr>
    </w:tbl>
    <w:p>
      <w:pPr>
        <w:rPr>
          <w:color w:val="auto"/>
          <w:highlight w:val="none"/>
        </w:rPr>
      </w:pPr>
    </w:p>
    <w:p>
      <w:pPr>
        <w:pStyle w:val="3"/>
        <w:rPr>
          <w:color w:val="auto"/>
          <w:sz w:val="24"/>
          <w:szCs w:val="24"/>
          <w:highlight w:val="none"/>
        </w:rPr>
      </w:pPr>
      <w:bookmarkStart w:id="158" w:name="_Toc528273538"/>
      <w:bookmarkStart w:id="159" w:name="_Toc49258171"/>
      <w:r>
        <w:rPr>
          <w:rFonts w:hint="eastAsia"/>
          <w:color w:val="auto"/>
          <w:sz w:val="24"/>
          <w:szCs w:val="24"/>
          <w:highlight w:val="none"/>
        </w:rPr>
        <w:t>在线监测功能检验</w:t>
      </w:r>
      <w:bookmarkEnd w:id="158"/>
      <w:bookmarkEnd w:id="159"/>
    </w:p>
    <w:p>
      <w:pPr>
        <w:pStyle w:val="5"/>
        <w:rPr>
          <w:color w:val="auto"/>
          <w:sz w:val="24"/>
          <w:szCs w:val="24"/>
          <w:highlight w:val="none"/>
        </w:rPr>
      </w:pPr>
      <w:bookmarkStart w:id="160" w:name="_Toc528273539"/>
      <w:r>
        <w:rPr>
          <w:rFonts w:hint="eastAsia"/>
          <w:color w:val="auto"/>
          <w:sz w:val="24"/>
          <w:szCs w:val="24"/>
          <w:highlight w:val="none"/>
        </w:rPr>
        <w:t>基本通信功能检验</w:t>
      </w:r>
      <w:bookmarkEnd w:id="16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Arial" w:hAnsi="Arial" w:cs="Arial"/>
                <w:color w:val="auto"/>
                <w:szCs w:val="21"/>
                <w:highlight w:val="none"/>
              </w:rPr>
              <w:t>基本通信功能检验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Mon01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智能远动网关技术规范7.1.4</w:t>
            </w:r>
          </w:p>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pStyle w:val="80"/>
              <w:numPr>
                <w:ilvl w:val="0"/>
                <w:numId w:val="37"/>
              </w:numPr>
              <w:ind w:firstLineChars="0"/>
              <w:jc w:val="left"/>
              <w:rPr>
                <w:rFonts w:ascii="宋体" w:hAnsi="宋体"/>
                <w:color w:val="auto"/>
                <w:kern w:val="0"/>
                <w:highlight w:val="none"/>
              </w:rPr>
            </w:pPr>
            <w:r>
              <w:rPr>
                <w:rFonts w:hint="eastAsia" w:ascii="宋体" w:hAnsi="宋体"/>
                <w:color w:val="auto"/>
                <w:kern w:val="0"/>
                <w:highlight w:val="none"/>
              </w:rPr>
              <w:t>数据模型、通信规约符合《变电设备在线监测装置数据通信技术规范》和</w:t>
            </w:r>
            <w:r>
              <w:rPr>
                <w:rFonts w:ascii="宋体" w:hAnsi="宋体"/>
                <w:color w:val="auto"/>
                <w:kern w:val="0"/>
                <w:highlight w:val="none"/>
              </w:rPr>
              <w:t xml:space="preserve">DL/T 860 </w:t>
            </w:r>
            <w:r>
              <w:rPr>
                <w:rFonts w:hint="eastAsia" w:ascii="宋体" w:hAnsi="宋体"/>
                <w:color w:val="auto"/>
                <w:kern w:val="0"/>
                <w:highlight w:val="none"/>
              </w:rPr>
              <w:t>《变电站通信网络和系统》；</w:t>
            </w:r>
          </w:p>
          <w:p>
            <w:pPr>
              <w:pStyle w:val="80"/>
              <w:numPr>
                <w:ilvl w:val="0"/>
                <w:numId w:val="37"/>
              </w:numPr>
              <w:ind w:firstLineChars="0"/>
              <w:jc w:val="left"/>
              <w:rPr>
                <w:rFonts w:ascii="宋体" w:hAnsi="宋体"/>
                <w:color w:val="auto"/>
                <w:kern w:val="0"/>
                <w:highlight w:val="none"/>
              </w:rPr>
            </w:pPr>
            <w:r>
              <w:rPr>
                <w:rFonts w:hint="eastAsia" w:ascii="宋体" w:hAnsi="宋体"/>
                <w:color w:val="auto"/>
                <w:kern w:val="0"/>
                <w:highlight w:val="none"/>
              </w:rPr>
              <w:t>兼具</w:t>
            </w:r>
            <w:r>
              <w:rPr>
                <w:rFonts w:ascii="宋体" w:hAnsi="宋体"/>
                <w:color w:val="auto"/>
                <w:kern w:val="0"/>
                <w:highlight w:val="none"/>
              </w:rPr>
              <w:t>DL/T860</w:t>
            </w:r>
            <w:r>
              <w:rPr>
                <w:rFonts w:hint="eastAsia" w:ascii="宋体" w:hAnsi="宋体"/>
                <w:color w:val="auto"/>
                <w:kern w:val="0"/>
                <w:highlight w:val="none"/>
              </w:rPr>
              <w:t>客户端和服务端功能，具备报告、日志、定值等通信服务接口，具备数据汇聚、展示、处理分析、存储以及转发等功能；</w:t>
            </w:r>
          </w:p>
          <w:p>
            <w:pPr>
              <w:pStyle w:val="80"/>
              <w:numPr>
                <w:ilvl w:val="0"/>
                <w:numId w:val="37"/>
              </w:numPr>
              <w:ind w:firstLineChars="0"/>
              <w:jc w:val="left"/>
              <w:rPr>
                <w:rFonts w:ascii="宋体" w:hAnsi="宋体"/>
                <w:color w:val="auto"/>
                <w:kern w:val="0"/>
                <w:highlight w:val="none"/>
              </w:rPr>
            </w:pPr>
            <w:r>
              <w:rPr>
                <w:rFonts w:hint="eastAsia" w:ascii="宋体" w:hAnsi="宋体"/>
                <w:color w:val="auto"/>
                <w:kern w:val="0"/>
                <w:highlight w:val="none"/>
              </w:rPr>
              <w:t>对下作为</w:t>
            </w:r>
            <w:r>
              <w:rPr>
                <w:rFonts w:ascii="宋体" w:hAnsi="宋体"/>
                <w:color w:val="auto"/>
                <w:kern w:val="0"/>
                <w:highlight w:val="none"/>
              </w:rPr>
              <w:t>DL/T860</w:t>
            </w:r>
            <w:r>
              <w:rPr>
                <w:rFonts w:hint="eastAsia" w:ascii="宋体" w:hAnsi="宋体"/>
                <w:color w:val="auto"/>
                <w:kern w:val="0"/>
                <w:highlight w:val="none"/>
              </w:rPr>
              <w:t>客户端，能够接入遵循《变电设备在线监测装置数据通信技术规范》的各类在线监测装置，具备数据接入、转发以及监测装置定值管理等功能。</w:t>
            </w:r>
          </w:p>
          <w:p>
            <w:pPr>
              <w:pStyle w:val="80"/>
              <w:numPr>
                <w:ilvl w:val="0"/>
                <w:numId w:val="37"/>
              </w:numPr>
              <w:autoSpaceDE w:val="0"/>
              <w:autoSpaceDN w:val="0"/>
              <w:ind w:left="425" w:hanging="425" w:firstLineChars="0"/>
              <w:jc w:val="left"/>
              <w:rPr>
                <w:color w:val="auto"/>
                <w:highlight w:val="none"/>
              </w:rPr>
            </w:pPr>
            <w:r>
              <w:rPr>
                <w:rFonts w:hint="eastAsia" w:ascii="宋体" w:hAnsi="宋体"/>
                <w:color w:val="auto"/>
                <w:kern w:val="0"/>
                <w:highlight w:val="none"/>
              </w:rPr>
              <w:t>对上作为</w:t>
            </w:r>
            <w:r>
              <w:rPr>
                <w:rFonts w:ascii="宋体" w:hAnsi="宋体"/>
                <w:color w:val="auto"/>
                <w:kern w:val="0"/>
                <w:highlight w:val="none"/>
              </w:rPr>
              <w:t>DL/T860</w:t>
            </w:r>
            <w:r>
              <w:rPr>
                <w:rFonts w:hint="eastAsia" w:ascii="宋体" w:hAnsi="宋体"/>
                <w:color w:val="auto"/>
                <w:kern w:val="0"/>
                <w:highlight w:val="none"/>
              </w:rPr>
              <w:t>服务端，具备数据上送、接收和转发主站系统下发的监测装置参数等功能；其中，</w:t>
            </w:r>
            <w:r>
              <w:rPr>
                <w:rFonts w:ascii="宋体" w:hAnsi="宋体"/>
                <w:color w:val="auto"/>
                <w:kern w:val="0"/>
                <w:highlight w:val="none"/>
              </w:rPr>
              <w:t>SCD</w:t>
            </w:r>
            <w:r>
              <w:rPr>
                <w:rFonts w:hint="eastAsia" w:ascii="宋体" w:hAnsi="宋体"/>
                <w:color w:val="auto"/>
                <w:kern w:val="0"/>
                <w:highlight w:val="none"/>
              </w:rPr>
              <w:t>文件和谱图文件能够以</w:t>
            </w:r>
            <w:r>
              <w:rPr>
                <w:rFonts w:ascii="宋体" w:hAnsi="宋体"/>
                <w:color w:val="auto"/>
                <w:kern w:val="0"/>
                <w:highlight w:val="none"/>
              </w:rPr>
              <w:t>DL/T860</w:t>
            </w:r>
            <w:r>
              <w:rPr>
                <w:rFonts w:hint="eastAsia" w:ascii="宋体" w:hAnsi="宋体"/>
                <w:color w:val="auto"/>
                <w:kern w:val="0"/>
                <w:highlight w:val="none"/>
              </w:rPr>
              <w:t>文件服务或</w:t>
            </w:r>
            <w:r>
              <w:rPr>
                <w:rFonts w:ascii="宋体" w:hAnsi="宋体"/>
                <w:color w:val="auto"/>
                <w:kern w:val="0"/>
                <w:highlight w:val="none"/>
              </w:rPr>
              <w:t>FTP</w:t>
            </w:r>
            <w:r>
              <w:rPr>
                <w:rFonts w:hint="eastAsia" w:ascii="宋体" w:hAnsi="宋体"/>
                <w:color w:val="auto"/>
                <w:kern w:val="0"/>
                <w:highlight w:val="none"/>
              </w:rPr>
              <w:t>方式等上送；</w:t>
            </w:r>
          </w:p>
          <w:p>
            <w:pPr>
              <w:pStyle w:val="80"/>
              <w:numPr>
                <w:ilvl w:val="0"/>
                <w:numId w:val="37"/>
              </w:numPr>
              <w:autoSpaceDE w:val="0"/>
              <w:autoSpaceDN w:val="0"/>
              <w:ind w:left="425" w:hanging="425" w:firstLineChars="0"/>
              <w:jc w:val="left"/>
              <w:rPr>
                <w:color w:val="auto"/>
                <w:highlight w:val="none"/>
              </w:rPr>
            </w:pPr>
            <w:r>
              <w:rPr>
                <w:rFonts w:hint="eastAsia"/>
                <w:color w:val="auto"/>
                <w:highlight w:val="none"/>
              </w:rPr>
              <w:t>支持通过集成在线监测装置ICD文件生成SCD文件，并能配置SCD文件版本号、通信描述参数等；SCD文件以DL/T860文件服务等方式上送主站系统。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pStyle w:val="80"/>
              <w:numPr>
                <w:ilvl w:val="0"/>
                <w:numId w:val="38"/>
              </w:numPr>
              <w:autoSpaceDE w:val="0"/>
              <w:autoSpaceDN w:val="0"/>
              <w:ind w:left="425" w:hanging="425" w:firstLineChars="0"/>
              <w:jc w:val="left"/>
              <w:rPr>
                <w:color w:val="auto"/>
                <w:highlight w:val="none"/>
              </w:rPr>
            </w:pPr>
            <w:r>
              <w:rPr>
                <w:rFonts w:hint="eastAsia"/>
                <w:color w:val="auto"/>
                <w:highlight w:val="none"/>
              </w:rPr>
              <w:t>检查装置的数据模型和通信规约是否满足要求。</w:t>
            </w:r>
          </w:p>
          <w:p>
            <w:pPr>
              <w:pStyle w:val="80"/>
              <w:numPr>
                <w:ilvl w:val="0"/>
                <w:numId w:val="38"/>
              </w:numPr>
              <w:autoSpaceDE w:val="0"/>
              <w:autoSpaceDN w:val="0"/>
              <w:ind w:left="425" w:hanging="425" w:firstLineChars="0"/>
              <w:jc w:val="left"/>
              <w:rPr>
                <w:rFonts w:ascii="宋体" w:hAnsi="宋体"/>
                <w:color w:val="auto"/>
                <w:highlight w:val="none"/>
              </w:rPr>
            </w:pPr>
            <w:r>
              <w:rPr>
                <w:rFonts w:ascii="宋体" w:hAnsi="宋体"/>
                <w:color w:val="auto"/>
                <w:highlight w:val="none"/>
              </w:rPr>
              <w:t>检查装置是否具备</w:t>
            </w:r>
            <w:r>
              <w:rPr>
                <w:color w:val="auto"/>
                <w:highlight w:val="none"/>
              </w:rPr>
              <w:t>DL/T860</w:t>
            </w:r>
            <w:r>
              <w:rPr>
                <w:rFonts w:hint="eastAsia"/>
                <w:color w:val="auto"/>
                <w:highlight w:val="none"/>
              </w:rPr>
              <w:t>客户端和服务端功能，支持相关服务及数据汇聚、展示、处理分析、存储以及转发等功能。</w:t>
            </w:r>
          </w:p>
          <w:p>
            <w:pPr>
              <w:pStyle w:val="80"/>
              <w:numPr>
                <w:ilvl w:val="0"/>
                <w:numId w:val="38"/>
              </w:numPr>
              <w:ind w:firstLineChars="0"/>
              <w:rPr>
                <w:color w:val="auto"/>
                <w:highlight w:val="none"/>
              </w:rPr>
            </w:pPr>
            <w:r>
              <w:rPr>
                <w:rFonts w:hint="eastAsia"/>
                <w:color w:val="auto"/>
                <w:highlight w:val="none"/>
              </w:rPr>
              <w:t>检查装置对下作为</w:t>
            </w:r>
            <w:r>
              <w:rPr>
                <w:color w:val="auto"/>
                <w:highlight w:val="none"/>
              </w:rPr>
              <w:t>DL/T860</w:t>
            </w:r>
            <w:r>
              <w:rPr>
                <w:rFonts w:hint="eastAsia"/>
                <w:color w:val="auto"/>
                <w:highlight w:val="none"/>
              </w:rPr>
              <w:t>客户端，能够接入遵循《变电设备在线监测装置数据通信技术规范》的各类在线监测装置，具备数据接入、转发以及监测装置定值管理等功能。</w:t>
            </w:r>
          </w:p>
          <w:p>
            <w:pPr>
              <w:pStyle w:val="80"/>
              <w:numPr>
                <w:ilvl w:val="0"/>
                <w:numId w:val="38"/>
              </w:numPr>
              <w:ind w:firstLineChars="0"/>
              <w:rPr>
                <w:color w:val="auto"/>
                <w:highlight w:val="none"/>
              </w:rPr>
            </w:pPr>
            <w:r>
              <w:rPr>
                <w:rFonts w:hint="eastAsia"/>
                <w:color w:val="auto"/>
                <w:highlight w:val="none"/>
              </w:rPr>
              <w:t>检查装置对上作为</w:t>
            </w:r>
            <w:r>
              <w:rPr>
                <w:color w:val="auto"/>
                <w:highlight w:val="none"/>
              </w:rPr>
              <w:t>DL/T860</w:t>
            </w:r>
            <w:r>
              <w:rPr>
                <w:rFonts w:hint="eastAsia"/>
                <w:color w:val="auto"/>
                <w:highlight w:val="none"/>
              </w:rPr>
              <w:t>服务端，具备数据上送、接收和转发主站系统下发的监测装置参数等功能；其中，</w:t>
            </w:r>
            <w:r>
              <w:rPr>
                <w:color w:val="auto"/>
                <w:highlight w:val="none"/>
              </w:rPr>
              <w:t>SCD</w:t>
            </w:r>
            <w:r>
              <w:rPr>
                <w:rFonts w:hint="eastAsia"/>
                <w:color w:val="auto"/>
                <w:highlight w:val="none"/>
              </w:rPr>
              <w:t>文件和谱图文件能够以</w:t>
            </w:r>
            <w:r>
              <w:rPr>
                <w:color w:val="auto"/>
                <w:highlight w:val="none"/>
              </w:rPr>
              <w:t>DL/T860</w:t>
            </w:r>
            <w:r>
              <w:rPr>
                <w:rFonts w:hint="eastAsia"/>
                <w:color w:val="auto"/>
                <w:highlight w:val="none"/>
              </w:rPr>
              <w:t>文件服务等上送；</w:t>
            </w:r>
          </w:p>
          <w:p>
            <w:pPr>
              <w:pStyle w:val="80"/>
              <w:numPr>
                <w:ilvl w:val="0"/>
                <w:numId w:val="38"/>
              </w:numPr>
              <w:autoSpaceDE w:val="0"/>
              <w:autoSpaceDN w:val="0"/>
              <w:ind w:left="425" w:hanging="425" w:firstLineChars="0"/>
              <w:jc w:val="left"/>
              <w:rPr>
                <w:rFonts w:ascii="Times New Roman" w:hAnsi="Times New Roman"/>
                <w:color w:val="auto"/>
                <w:highlight w:val="none"/>
              </w:rPr>
            </w:pPr>
            <w:r>
              <w:rPr>
                <w:rFonts w:hint="eastAsia"/>
                <w:color w:val="auto"/>
                <w:highlight w:val="none"/>
              </w:rPr>
              <w:t>支持通过集成在线监测装置</w:t>
            </w:r>
            <w:r>
              <w:rPr>
                <w:color w:val="auto"/>
                <w:highlight w:val="none"/>
              </w:rPr>
              <w:t>ICD</w:t>
            </w:r>
            <w:r>
              <w:rPr>
                <w:rFonts w:hint="eastAsia"/>
                <w:color w:val="auto"/>
                <w:highlight w:val="none"/>
              </w:rPr>
              <w:t>文件生成</w:t>
            </w:r>
            <w:r>
              <w:rPr>
                <w:color w:val="auto"/>
                <w:highlight w:val="none"/>
              </w:rPr>
              <w:t>SCD</w:t>
            </w:r>
            <w:r>
              <w:rPr>
                <w:rFonts w:hint="eastAsia"/>
                <w:color w:val="auto"/>
                <w:highlight w:val="none"/>
              </w:rPr>
              <w:t>文件，并能配置</w:t>
            </w:r>
            <w:r>
              <w:rPr>
                <w:color w:val="auto"/>
                <w:highlight w:val="none"/>
              </w:rPr>
              <w:t>SCD</w:t>
            </w:r>
            <w:r>
              <w:rPr>
                <w:rFonts w:hint="eastAsia"/>
                <w:color w:val="auto"/>
                <w:highlight w:val="none"/>
              </w:rPr>
              <w:t>文件版本号、通信描述参数等；</w:t>
            </w:r>
            <w:r>
              <w:rPr>
                <w:color w:val="auto"/>
                <w:highlight w:val="none"/>
              </w:rPr>
              <w:t>SCD</w:t>
            </w:r>
            <w:r>
              <w:rPr>
                <w:rFonts w:hint="eastAsia"/>
                <w:color w:val="auto"/>
                <w:highlight w:val="none"/>
              </w:rPr>
              <w:t>文件以</w:t>
            </w:r>
            <w:r>
              <w:rPr>
                <w:color w:val="auto"/>
                <w:highlight w:val="none"/>
              </w:rPr>
              <w:t>DL/T860</w:t>
            </w:r>
            <w:r>
              <w:rPr>
                <w:rFonts w:hint="eastAsia"/>
                <w:color w:val="auto"/>
                <w:highlight w:val="none"/>
              </w:rPr>
              <w:t>文件服务等方式上送主站系统。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61" w:name="_Toc528273540"/>
      <w:r>
        <w:rPr>
          <w:rFonts w:hint="eastAsia"/>
          <w:color w:val="auto"/>
          <w:sz w:val="24"/>
          <w:szCs w:val="24"/>
          <w:highlight w:val="none"/>
        </w:rPr>
        <w:t>数据传输、处理及存储功能检验</w:t>
      </w:r>
      <w:bookmarkEnd w:id="16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数据传输、处理及存储功能检验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Mon02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智能远动网关技术规范7.1.4</w:t>
            </w:r>
          </w:p>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pStyle w:val="80"/>
              <w:numPr>
                <w:ilvl w:val="0"/>
                <w:numId w:val="39"/>
              </w:numPr>
              <w:ind w:firstLineChars="0"/>
              <w:rPr>
                <w:rFonts w:ascii="宋体" w:hAnsi="宋体"/>
                <w:color w:val="auto"/>
                <w:kern w:val="0"/>
                <w:szCs w:val="20"/>
                <w:highlight w:val="none"/>
              </w:rPr>
            </w:pPr>
            <w:r>
              <w:rPr>
                <w:rFonts w:hint="eastAsia" w:ascii="宋体" w:hAnsi="宋体"/>
                <w:color w:val="auto"/>
                <w:kern w:val="0"/>
                <w:szCs w:val="20"/>
                <w:highlight w:val="none"/>
              </w:rPr>
              <w:t>至少支持10000个DO数据对象的同步转发；</w:t>
            </w:r>
          </w:p>
          <w:p>
            <w:pPr>
              <w:numPr>
                <w:ilvl w:val="0"/>
                <w:numId w:val="39"/>
              </w:numPr>
              <w:autoSpaceDE w:val="0"/>
              <w:autoSpaceDN w:val="0"/>
              <w:jc w:val="left"/>
              <w:rPr>
                <w:rFonts w:ascii="宋体" w:hAnsi="宋体"/>
                <w:color w:val="auto"/>
                <w:kern w:val="0"/>
                <w:highlight w:val="none"/>
              </w:rPr>
            </w:pPr>
            <w:r>
              <w:rPr>
                <w:rFonts w:hint="eastAsia" w:ascii="宋体" w:hAnsi="宋体"/>
                <w:color w:val="auto"/>
                <w:kern w:val="0"/>
                <w:highlight w:val="none"/>
              </w:rPr>
              <w:t>综合处理单元（智能远动机）支持召唤在线监测装置的实时监测数据，支持主站系统召唤综合处理单元（智能远动机）的实时监测数据；</w:t>
            </w:r>
          </w:p>
          <w:p>
            <w:pPr>
              <w:numPr>
                <w:ilvl w:val="0"/>
                <w:numId w:val="39"/>
              </w:numPr>
              <w:autoSpaceDE w:val="0"/>
              <w:autoSpaceDN w:val="0"/>
              <w:jc w:val="left"/>
              <w:rPr>
                <w:rFonts w:ascii="宋体" w:hAnsi="宋体"/>
                <w:color w:val="auto"/>
                <w:kern w:val="0"/>
                <w:highlight w:val="none"/>
              </w:rPr>
            </w:pPr>
            <w:r>
              <w:rPr>
                <w:rFonts w:hint="eastAsia" w:ascii="宋体" w:hAnsi="宋体"/>
                <w:color w:val="auto"/>
                <w:kern w:val="0"/>
                <w:highlight w:val="none"/>
              </w:rPr>
              <w:t>综合处理单元（智能远动机）支持以DL/T860 MMS方式触发召唤、周期召唤在线监测装置谱图文件，单个谱图文件召唤响应时间≤10s；</w:t>
            </w:r>
          </w:p>
          <w:p>
            <w:pPr>
              <w:numPr>
                <w:ilvl w:val="0"/>
                <w:numId w:val="39"/>
              </w:numPr>
              <w:autoSpaceDE w:val="0"/>
              <w:autoSpaceDN w:val="0"/>
              <w:jc w:val="left"/>
              <w:rPr>
                <w:rFonts w:ascii="宋体" w:hAnsi="宋体"/>
                <w:color w:val="auto"/>
                <w:kern w:val="0"/>
                <w:highlight w:val="none"/>
              </w:rPr>
            </w:pPr>
            <w:r>
              <w:rPr>
                <w:rFonts w:hint="eastAsia" w:ascii="宋体" w:hAnsi="宋体"/>
                <w:color w:val="auto"/>
                <w:kern w:val="0"/>
                <w:highlight w:val="none"/>
              </w:rPr>
              <w:t>支持主站系统以DL/T</w:t>
            </w:r>
            <w:r>
              <w:rPr>
                <w:rFonts w:ascii="宋体" w:hAnsi="宋体"/>
                <w:color w:val="auto"/>
                <w:kern w:val="0"/>
                <w:highlight w:val="none"/>
              </w:rPr>
              <w:t xml:space="preserve"> </w:t>
            </w:r>
            <w:r>
              <w:rPr>
                <w:rFonts w:hint="eastAsia" w:ascii="宋体" w:hAnsi="宋体"/>
                <w:color w:val="auto"/>
                <w:kern w:val="0"/>
                <w:highlight w:val="none"/>
              </w:rPr>
              <w:t>860文件服务方式召唤综合处理单元（智能远动机）谱图文件；</w:t>
            </w:r>
          </w:p>
          <w:p>
            <w:pPr>
              <w:numPr>
                <w:ilvl w:val="0"/>
                <w:numId w:val="39"/>
              </w:numPr>
              <w:autoSpaceDE w:val="0"/>
              <w:autoSpaceDN w:val="0"/>
              <w:jc w:val="left"/>
              <w:rPr>
                <w:rFonts w:ascii="宋体" w:hAnsi="宋体"/>
                <w:color w:val="auto"/>
                <w:kern w:val="0"/>
                <w:highlight w:val="none"/>
              </w:rPr>
            </w:pPr>
            <w:r>
              <w:rPr>
                <w:rFonts w:hint="eastAsia" w:ascii="宋体" w:hAnsi="宋体"/>
                <w:color w:val="auto"/>
                <w:kern w:val="0"/>
                <w:highlight w:val="none"/>
              </w:rPr>
              <w:t>综合处理单元（智能远动机）与在线监测装置通信中断恢复后，通过日志服务能够自动召唤中断期间的历史数据；同时，综合处理单元也能够主动召唤在线监测装置任意时段的历史数据；</w:t>
            </w:r>
          </w:p>
          <w:p>
            <w:pPr>
              <w:numPr>
                <w:ilvl w:val="0"/>
                <w:numId w:val="39"/>
              </w:numPr>
              <w:autoSpaceDE w:val="0"/>
              <w:autoSpaceDN w:val="0"/>
              <w:jc w:val="left"/>
              <w:rPr>
                <w:rFonts w:ascii="宋体" w:hAnsi="宋体"/>
                <w:color w:val="auto"/>
                <w:kern w:val="0"/>
                <w:highlight w:val="none"/>
              </w:rPr>
            </w:pPr>
            <w:r>
              <w:rPr>
                <w:rFonts w:hint="eastAsia" w:ascii="宋体" w:hAnsi="宋体"/>
                <w:color w:val="auto"/>
                <w:kern w:val="0"/>
                <w:highlight w:val="none"/>
              </w:rPr>
              <w:t>支持主站系统通过日志服务，召唤综合处理单元（智能远动机）任意时段的历史数据，日志服务触发选项（TrgOp）、完整性周期（IntgPd）可设置；</w:t>
            </w:r>
          </w:p>
          <w:p>
            <w:pPr>
              <w:numPr>
                <w:ilvl w:val="0"/>
                <w:numId w:val="39"/>
              </w:numPr>
              <w:autoSpaceDE w:val="0"/>
              <w:autoSpaceDN w:val="0"/>
              <w:jc w:val="left"/>
              <w:rPr>
                <w:rFonts w:ascii="宋体" w:hAnsi="宋体"/>
                <w:color w:val="auto"/>
                <w:kern w:val="0"/>
                <w:highlight w:val="none"/>
              </w:rPr>
            </w:pPr>
            <w:r>
              <w:rPr>
                <w:rFonts w:hint="eastAsia" w:ascii="宋体" w:hAnsi="宋体"/>
                <w:color w:val="auto"/>
                <w:kern w:val="0"/>
                <w:highlight w:val="none"/>
              </w:rPr>
              <w:t>能够对历史数据、谱图文件进行循环存储，存储时间不低于3个月；其中，谱图文件的存储数量下限不低于2048个。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0"/>
              </w:numPr>
              <w:autoSpaceDE w:val="0"/>
              <w:autoSpaceDN w:val="0"/>
              <w:jc w:val="left"/>
              <w:rPr>
                <w:rFonts w:ascii="宋体" w:hAnsi="宋体"/>
                <w:color w:val="auto"/>
                <w:highlight w:val="none"/>
              </w:rPr>
            </w:pPr>
            <w:r>
              <w:rPr>
                <w:rFonts w:ascii="宋体" w:hAnsi="宋体"/>
                <w:color w:val="auto"/>
                <w:highlight w:val="none"/>
              </w:rPr>
              <w:t>配置</w:t>
            </w:r>
            <w:r>
              <w:rPr>
                <w:rFonts w:hint="eastAsia" w:ascii="宋体" w:hAnsi="宋体"/>
                <w:color w:val="auto"/>
                <w:highlight w:val="none"/>
              </w:rPr>
              <w:t>1</w:t>
            </w:r>
            <w:r>
              <w:rPr>
                <w:rFonts w:ascii="宋体" w:hAnsi="宋体"/>
                <w:color w:val="auto"/>
                <w:highlight w:val="none"/>
              </w:rPr>
              <w:t>0000个</w:t>
            </w:r>
            <w:r>
              <w:rPr>
                <w:rFonts w:hint="eastAsia" w:ascii="宋体" w:hAnsi="宋体"/>
                <w:color w:val="auto"/>
                <w:highlight w:val="none"/>
              </w:rPr>
              <w:t>D</w:t>
            </w:r>
            <w:r>
              <w:rPr>
                <w:rFonts w:ascii="宋体" w:hAnsi="宋体"/>
                <w:color w:val="auto"/>
                <w:highlight w:val="none"/>
              </w:rPr>
              <w:t>O数据对象用于装置数据采集。</w:t>
            </w:r>
          </w:p>
          <w:p>
            <w:pPr>
              <w:numPr>
                <w:ilvl w:val="0"/>
                <w:numId w:val="40"/>
              </w:numPr>
              <w:autoSpaceDE w:val="0"/>
              <w:autoSpaceDN w:val="0"/>
              <w:jc w:val="left"/>
              <w:rPr>
                <w:rFonts w:ascii="宋体" w:hAnsi="宋体"/>
                <w:color w:val="auto"/>
                <w:highlight w:val="none"/>
              </w:rPr>
            </w:pPr>
            <w:r>
              <w:rPr>
                <w:rFonts w:ascii="宋体" w:hAnsi="宋体"/>
                <w:color w:val="auto"/>
                <w:highlight w:val="none"/>
              </w:rPr>
              <w:t>从主站召唤</w:t>
            </w:r>
            <w:r>
              <w:rPr>
                <w:rFonts w:hint="eastAsia" w:ascii="宋体" w:hAnsi="宋体"/>
                <w:color w:val="auto"/>
                <w:kern w:val="0"/>
                <w:highlight w:val="none"/>
              </w:rPr>
              <w:t>变压器、电抗器、组合电器（GIS/HGIS）、断路器、避雷器等设备</w:t>
            </w:r>
            <w:r>
              <w:rPr>
                <w:rFonts w:ascii="宋体" w:hAnsi="宋体"/>
                <w:color w:val="auto"/>
                <w:highlight w:val="none"/>
              </w:rPr>
              <w:t>相应的在线监测数据，检查是否正常上送。</w:t>
            </w:r>
          </w:p>
          <w:p>
            <w:pPr>
              <w:numPr>
                <w:ilvl w:val="0"/>
                <w:numId w:val="40"/>
              </w:numPr>
              <w:autoSpaceDE w:val="0"/>
              <w:autoSpaceDN w:val="0"/>
              <w:jc w:val="left"/>
              <w:rPr>
                <w:rFonts w:ascii="宋体" w:hAnsi="宋体"/>
                <w:color w:val="auto"/>
                <w:highlight w:val="none"/>
              </w:rPr>
            </w:pPr>
            <w:r>
              <w:rPr>
                <w:rFonts w:ascii="宋体" w:hAnsi="宋体"/>
                <w:color w:val="auto"/>
                <w:highlight w:val="none"/>
              </w:rPr>
              <w:t>配置</w:t>
            </w:r>
            <w:r>
              <w:rPr>
                <w:rFonts w:hint="eastAsia" w:ascii="宋体" w:hAnsi="宋体"/>
                <w:color w:val="auto"/>
                <w:kern w:val="0"/>
                <w:highlight w:val="none"/>
              </w:rPr>
              <w:t>智能远动机对谱图文件的</w:t>
            </w:r>
            <w:r>
              <w:rPr>
                <w:rFonts w:ascii="宋体" w:hAnsi="宋体"/>
                <w:color w:val="auto"/>
                <w:highlight w:val="none"/>
              </w:rPr>
              <w:t>召唤周期、召唤方式，进行触发召唤、周期召唤</w:t>
            </w:r>
            <w:r>
              <w:rPr>
                <w:rFonts w:hint="eastAsia" w:ascii="宋体" w:hAnsi="宋体"/>
                <w:color w:val="auto"/>
                <w:kern w:val="0"/>
                <w:highlight w:val="none"/>
              </w:rPr>
              <w:t>在线监测装置谱图文件，同时检查响应时间是否满足要求。</w:t>
            </w:r>
          </w:p>
          <w:p>
            <w:pPr>
              <w:numPr>
                <w:ilvl w:val="0"/>
                <w:numId w:val="40"/>
              </w:numPr>
              <w:autoSpaceDE w:val="0"/>
              <w:autoSpaceDN w:val="0"/>
              <w:jc w:val="left"/>
              <w:rPr>
                <w:rFonts w:ascii="宋体" w:hAnsi="宋体"/>
                <w:color w:val="auto"/>
                <w:highlight w:val="none"/>
              </w:rPr>
            </w:pPr>
            <w:r>
              <w:rPr>
                <w:rFonts w:ascii="宋体" w:hAnsi="宋体"/>
                <w:color w:val="auto"/>
                <w:kern w:val="0"/>
                <w:highlight w:val="none"/>
              </w:rPr>
              <w:t>通过主站系统以</w:t>
            </w:r>
            <w:r>
              <w:rPr>
                <w:rFonts w:hint="eastAsia" w:ascii="宋体" w:hAnsi="宋体"/>
                <w:color w:val="auto"/>
                <w:kern w:val="0"/>
                <w:highlight w:val="none"/>
              </w:rPr>
              <w:t>D</w:t>
            </w:r>
            <w:r>
              <w:rPr>
                <w:rFonts w:ascii="宋体" w:hAnsi="宋体"/>
                <w:color w:val="auto"/>
                <w:kern w:val="0"/>
                <w:highlight w:val="none"/>
              </w:rPr>
              <w:t>L/T 860文件服务方式召唤装置</w:t>
            </w:r>
            <w:r>
              <w:rPr>
                <w:rFonts w:hint="eastAsia" w:ascii="宋体" w:hAnsi="宋体"/>
                <w:color w:val="auto"/>
                <w:kern w:val="0"/>
                <w:highlight w:val="none"/>
              </w:rPr>
              <w:t>谱图文件，检查是否成功。</w:t>
            </w:r>
          </w:p>
          <w:p>
            <w:pPr>
              <w:numPr>
                <w:ilvl w:val="0"/>
                <w:numId w:val="40"/>
              </w:numPr>
              <w:autoSpaceDE w:val="0"/>
              <w:autoSpaceDN w:val="0"/>
              <w:jc w:val="left"/>
              <w:rPr>
                <w:rFonts w:ascii="宋体" w:hAnsi="宋体"/>
                <w:color w:val="auto"/>
                <w:highlight w:val="none"/>
              </w:rPr>
            </w:pPr>
            <w:r>
              <w:rPr>
                <w:rFonts w:ascii="宋体" w:hAnsi="宋体"/>
                <w:color w:val="auto"/>
                <w:highlight w:val="none"/>
              </w:rPr>
              <w:t>操作装置召唤在线监测装置任一时间的历史数据，检查能否召唤成功。</w:t>
            </w:r>
          </w:p>
          <w:p>
            <w:pPr>
              <w:numPr>
                <w:ilvl w:val="0"/>
                <w:numId w:val="40"/>
              </w:numPr>
              <w:autoSpaceDE w:val="0"/>
              <w:autoSpaceDN w:val="0"/>
              <w:jc w:val="left"/>
              <w:rPr>
                <w:rFonts w:ascii="宋体" w:hAnsi="宋体"/>
                <w:color w:val="auto"/>
                <w:highlight w:val="none"/>
              </w:rPr>
            </w:pPr>
            <w:r>
              <w:rPr>
                <w:rFonts w:ascii="宋体" w:hAnsi="宋体"/>
                <w:color w:val="auto"/>
                <w:highlight w:val="none"/>
              </w:rPr>
              <w:t>模拟在线监测装置与智能远动机通信中断，然后持续生成在线监测数据，恢复连接后检查是否能够通过日志服务召唤中断期间的数据。</w:t>
            </w:r>
          </w:p>
          <w:p>
            <w:pPr>
              <w:numPr>
                <w:ilvl w:val="0"/>
                <w:numId w:val="40"/>
              </w:numPr>
              <w:autoSpaceDE w:val="0"/>
              <w:autoSpaceDN w:val="0"/>
              <w:jc w:val="left"/>
              <w:rPr>
                <w:rFonts w:ascii="宋体" w:hAnsi="宋体"/>
                <w:color w:val="auto"/>
                <w:highlight w:val="none"/>
              </w:rPr>
            </w:pPr>
            <w:r>
              <w:rPr>
                <w:rFonts w:hint="eastAsia" w:ascii="宋体" w:hAnsi="宋体"/>
                <w:color w:val="auto"/>
                <w:kern w:val="0"/>
                <w:highlight w:val="none"/>
              </w:rPr>
              <w:t>操作主站通过日志服务，召唤智能远动机任意时段的在线监测历史数据，检查是否成功；检查智能远动机的日志服务触发选项（TrgOp）、完整性周期（IntgPd）是否可设置</w:t>
            </w:r>
          </w:p>
          <w:p>
            <w:pPr>
              <w:numPr>
                <w:ilvl w:val="0"/>
                <w:numId w:val="40"/>
              </w:numPr>
              <w:autoSpaceDE w:val="0"/>
              <w:autoSpaceDN w:val="0"/>
              <w:jc w:val="left"/>
              <w:rPr>
                <w:rFonts w:ascii="宋体" w:hAnsi="宋体"/>
                <w:color w:val="auto"/>
                <w:highlight w:val="none"/>
              </w:rPr>
            </w:pPr>
            <w:r>
              <w:rPr>
                <w:rFonts w:hint="eastAsia" w:ascii="宋体" w:hAnsi="宋体"/>
                <w:color w:val="auto"/>
                <w:highlight w:val="none"/>
              </w:rPr>
              <w:t>模拟大于3个月的历史数据，检查数据是否能够循环覆盖。模拟</w:t>
            </w:r>
            <w:r>
              <w:rPr>
                <w:rFonts w:ascii="宋体" w:hAnsi="宋体"/>
                <w:color w:val="auto"/>
                <w:highlight w:val="none"/>
              </w:rPr>
              <w:t>谱图文件大于</w:t>
            </w:r>
            <w:r>
              <w:rPr>
                <w:rFonts w:hint="eastAsia" w:ascii="宋体" w:hAnsi="宋体"/>
                <w:color w:val="auto"/>
                <w:highlight w:val="none"/>
              </w:rPr>
              <w:t>2</w:t>
            </w:r>
            <w:r>
              <w:rPr>
                <w:rFonts w:ascii="宋体" w:hAnsi="宋体"/>
                <w:color w:val="auto"/>
                <w:highlight w:val="none"/>
              </w:rPr>
              <w:t>048个，检查能否存储并循环覆盖。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62" w:name="_Toc528273541"/>
      <w:r>
        <w:rPr>
          <w:rFonts w:hint="eastAsia"/>
          <w:color w:val="auto"/>
          <w:sz w:val="24"/>
          <w:szCs w:val="24"/>
          <w:highlight w:val="none"/>
        </w:rPr>
        <w:t>监测装置管理功能检验</w:t>
      </w:r>
      <w:bookmarkEnd w:id="16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监测装置管理功能检验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Mon03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智能远动网关技术规范7.1.4</w:t>
            </w:r>
          </w:p>
          <w:p>
            <w:pPr>
              <w:rPr>
                <w:rFonts w:ascii="宋体" w:hAnsi="宋体"/>
                <w:color w:val="auto"/>
                <w:highlight w:val="none"/>
              </w:rPr>
            </w:pPr>
            <w:r>
              <w:rPr>
                <w:rFonts w:hint="eastAsia" w:ascii="宋体" w:hAnsi="宋体"/>
                <w:color w:val="auto"/>
                <w:highlight w:val="none"/>
              </w:rPr>
              <w:t>Q/CSG XXX-XXXX 设备在线监测综合处理单元技术要求（试行）5.3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1"/>
              </w:numPr>
              <w:autoSpaceDE w:val="0"/>
              <w:autoSpaceDN w:val="0"/>
              <w:jc w:val="left"/>
              <w:rPr>
                <w:rFonts w:ascii="宋体" w:hAnsi="宋体"/>
                <w:color w:val="auto"/>
                <w:kern w:val="0"/>
                <w:highlight w:val="none"/>
              </w:rPr>
            </w:pPr>
            <w:r>
              <w:rPr>
                <w:rFonts w:hint="eastAsia" w:ascii="宋体" w:hAnsi="宋体"/>
                <w:color w:val="auto"/>
                <w:kern w:val="0"/>
                <w:highlight w:val="none"/>
              </w:rPr>
              <w:t>能够管理、配置所辖在线监测装置基本信息，包括装置类型、通信参数、定值等；</w:t>
            </w:r>
          </w:p>
          <w:p>
            <w:pPr>
              <w:numPr>
                <w:ilvl w:val="0"/>
                <w:numId w:val="41"/>
              </w:numPr>
              <w:autoSpaceDE w:val="0"/>
              <w:autoSpaceDN w:val="0"/>
              <w:jc w:val="left"/>
              <w:rPr>
                <w:rFonts w:ascii="宋体" w:hAnsi="宋体"/>
                <w:color w:val="auto"/>
                <w:kern w:val="0"/>
                <w:highlight w:val="none"/>
              </w:rPr>
            </w:pPr>
            <w:r>
              <w:rPr>
                <w:rFonts w:hint="eastAsia" w:ascii="宋体" w:hAnsi="宋体"/>
                <w:color w:val="auto"/>
                <w:kern w:val="0"/>
                <w:highlight w:val="none"/>
              </w:rPr>
              <w:t>支持对在线监测装置DL/T 860报告服务的触发选项（TrgOp）、完整性周期（IntgPd）进行配置；</w:t>
            </w:r>
          </w:p>
          <w:p>
            <w:pPr>
              <w:numPr>
                <w:ilvl w:val="0"/>
                <w:numId w:val="41"/>
              </w:numPr>
              <w:autoSpaceDE w:val="0"/>
              <w:autoSpaceDN w:val="0"/>
              <w:jc w:val="left"/>
              <w:rPr>
                <w:rFonts w:ascii="宋体" w:hAnsi="宋体"/>
                <w:color w:val="auto"/>
                <w:kern w:val="0"/>
                <w:highlight w:val="none"/>
              </w:rPr>
            </w:pPr>
            <w:r>
              <w:rPr>
                <w:rFonts w:hint="eastAsia" w:ascii="宋体" w:hAnsi="宋体"/>
                <w:color w:val="auto"/>
                <w:kern w:val="0"/>
                <w:highlight w:val="none"/>
              </w:rPr>
              <w:t>支持对在线监测装置DL/T 860日志服务的触发选项（TrgOp）、完整性周期（IntgPd）进行配置；</w:t>
            </w:r>
          </w:p>
          <w:p>
            <w:pPr>
              <w:numPr>
                <w:ilvl w:val="0"/>
                <w:numId w:val="41"/>
              </w:numPr>
              <w:autoSpaceDE w:val="0"/>
              <w:autoSpaceDN w:val="0"/>
              <w:jc w:val="left"/>
              <w:rPr>
                <w:rFonts w:ascii="宋体" w:hAnsi="宋体"/>
                <w:color w:val="auto"/>
                <w:kern w:val="0"/>
                <w:highlight w:val="none"/>
              </w:rPr>
            </w:pPr>
            <w:r>
              <w:rPr>
                <w:rFonts w:hint="eastAsia" w:ascii="宋体" w:hAnsi="宋体"/>
                <w:color w:val="auto"/>
                <w:kern w:val="0"/>
                <w:highlight w:val="none"/>
              </w:rPr>
              <w:t>支持实时接收并转发主站系统下发的在线监测装置定值。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2"/>
              </w:numPr>
              <w:autoSpaceDE w:val="0"/>
              <w:autoSpaceDN w:val="0"/>
              <w:jc w:val="left"/>
              <w:rPr>
                <w:rFonts w:ascii="宋体" w:hAnsi="宋体"/>
                <w:color w:val="auto"/>
                <w:kern w:val="0"/>
                <w:highlight w:val="none"/>
              </w:rPr>
            </w:pPr>
            <w:r>
              <w:rPr>
                <w:rFonts w:hint="eastAsia" w:ascii="宋体" w:hAnsi="宋体"/>
                <w:color w:val="auto"/>
                <w:kern w:val="0"/>
                <w:highlight w:val="none"/>
              </w:rPr>
              <w:t>检查智能远动机是否能够管理、配置所辖在线监测装置基本信息，包括装置类型、通信参数、定值等；</w:t>
            </w:r>
          </w:p>
          <w:p>
            <w:pPr>
              <w:numPr>
                <w:ilvl w:val="0"/>
                <w:numId w:val="42"/>
              </w:numPr>
              <w:autoSpaceDE w:val="0"/>
              <w:autoSpaceDN w:val="0"/>
              <w:jc w:val="left"/>
              <w:rPr>
                <w:rFonts w:ascii="宋体" w:hAnsi="宋体"/>
                <w:color w:val="auto"/>
                <w:kern w:val="0"/>
                <w:highlight w:val="none"/>
              </w:rPr>
            </w:pPr>
            <w:r>
              <w:rPr>
                <w:rFonts w:hint="eastAsia" w:ascii="宋体" w:hAnsi="宋体"/>
                <w:color w:val="auto"/>
                <w:kern w:val="0"/>
                <w:highlight w:val="none"/>
              </w:rPr>
              <w:t>检查智能远动机是否能够对在线监测装置DL/T 860报告服务的触发选项（TrgOp）、完整性周期（IntgPd）进行配置；</w:t>
            </w:r>
          </w:p>
          <w:p>
            <w:pPr>
              <w:numPr>
                <w:ilvl w:val="0"/>
                <w:numId w:val="42"/>
              </w:numPr>
              <w:autoSpaceDE w:val="0"/>
              <w:autoSpaceDN w:val="0"/>
              <w:jc w:val="left"/>
              <w:rPr>
                <w:rFonts w:ascii="宋体" w:hAnsi="宋体"/>
                <w:color w:val="auto"/>
                <w:kern w:val="0"/>
                <w:highlight w:val="none"/>
              </w:rPr>
            </w:pPr>
            <w:r>
              <w:rPr>
                <w:rFonts w:hint="eastAsia" w:ascii="宋体" w:hAnsi="宋体"/>
                <w:color w:val="auto"/>
                <w:kern w:val="0"/>
                <w:highlight w:val="none"/>
              </w:rPr>
              <w:t>检查智能远动机是否能够对在线监测装置DL/T 860日志服务的触发选项（TrgOp）、完整性周期（IntgPd）进行配置；</w:t>
            </w:r>
          </w:p>
          <w:p>
            <w:pPr>
              <w:numPr>
                <w:ilvl w:val="0"/>
                <w:numId w:val="42"/>
              </w:numPr>
              <w:autoSpaceDE w:val="0"/>
              <w:autoSpaceDN w:val="0"/>
              <w:jc w:val="left"/>
              <w:rPr>
                <w:rFonts w:ascii="宋体" w:hAnsi="宋体"/>
                <w:color w:val="auto"/>
                <w:highlight w:val="none"/>
              </w:rPr>
            </w:pPr>
            <w:r>
              <w:rPr>
                <w:rFonts w:hint="eastAsia" w:ascii="宋体" w:hAnsi="宋体"/>
                <w:color w:val="auto"/>
                <w:kern w:val="0"/>
                <w:highlight w:val="none"/>
              </w:rPr>
              <w:t>从主站系统下发在线监测装置定值，检查智能远动机是否能够实时接收并转发。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63" w:name="_Toc528273542"/>
      <w:r>
        <w:rPr>
          <w:rFonts w:hint="eastAsia"/>
          <w:color w:val="auto"/>
          <w:sz w:val="24"/>
          <w:szCs w:val="24"/>
          <w:highlight w:val="none"/>
        </w:rPr>
        <w:t>自检测与自恢复功能检验</w:t>
      </w:r>
      <w:bookmarkEnd w:id="16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自检测与自恢复功能检验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Mon04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3"/>
              </w:numPr>
              <w:autoSpaceDE w:val="0"/>
              <w:autoSpaceDN w:val="0"/>
              <w:jc w:val="left"/>
              <w:rPr>
                <w:rFonts w:ascii="宋体" w:hAnsi="宋体"/>
                <w:color w:val="auto"/>
                <w:kern w:val="0"/>
                <w:highlight w:val="none"/>
              </w:rPr>
            </w:pPr>
            <w:r>
              <w:rPr>
                <w:rFonts w:hint="eastAsia" w:ascii="宋体" w:hAnsi="宋体"/>
                <w:color w:val="auto"/>
                <w:kern w:val="0"/>
                <w:highlight w:val="none"/>
              </w:rPr>
              <w:t>具备自检功能，能够诊断综合处理单元操作系统状态（磁盘容量、内存容量、CPU占用率）、应用软件状态以及与在线监测装置通信状态等，并以告警形式上送主站系统；</w:t>
            </w:r>
          </w:p>
          <w:p>
            <w:pPr>
              <w:numPr>
                <w:ilvl w:val="0"/>
                <w:numId w:val="43"/>
              </w:numPr>
              <w:autoSpaceDE w:val="0"/>
              <w:autoSpaceDN w:val="0"/>
              <w:jc w:val="left"/>
              <w:rPr>
                <w:rFonts w:ascii="宋体" w:hAnsi="宋体"/>
                <w:color w:val="auto"/>
                <w:kern w:val="0"/>
                <w:highlight w:val="none"/>
              </w:rPr>
            </w:pPr>
            <w:r>
              <w:rPr>
                <w:rFonts w:hint="eastAsia" w:ascii="宋体" w:hAnsi="宋体"/>
                <w:color w:val="auto"/>
                <w:kern w:val="0"/>
                <w:highlight w:val="none"/>
              </w:rPr>
              <w:t>具备日志功能，记录自身运行状况等各类日志，支持日志的远方查询功能；</w:t>
            </w:r>
          </w:p>
          <w:p>
            <w:pPr>
              <w:numPr>
                <w:ilvl w:val="0"/>
                <w:numId w:val="43"/>
              </w:numPr>
              <w:autoSpaceDE w:val="0"/>
              <w:autoSpaceDN w:val="0"/>
              <w:jc w:val="left"/>
              <w:rPr>
                <w:rFonts w:ascii="宋体" w:hAnsi="宋体"/>
                <w:color w:val="auto"/>
                <w:kern w:val="0"/>
                <w:highlight w:val="none"/>
              </w:rPr>
            </w:pPr>
            <w:r>
              <w:rPr>
                <w:rFonts w:hint="eastAsia" w:ascii="宋体" w:hAnsi="宋体"/>
                <w:color w:val="auto"/>
                <w:kern w:val="0"/>
                <w:highlight w:val="none"/>
              </w:rPr>
              <w:t>具备自恢复功能，当出现异常供电、进程异常终止等情况后，系统（进程）能够自动恢复正常运行，且存储数据不丢失。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4"/>
              </w:numPr>
              <w:autoSpaceDE w:val="0"/>
              <w:autoSpaceDN w:val="0"/>
              <w:jc w:val="left"/>
              <w:rPr>
                <w:rFonts w:ascii="宋体" w:hAnsi="宋体"/>
                <w:color w:val="auto"/>
                <w:kern w:val="0"/>
                <w:highlight w:val="none"/>
              </w:rPr>
            </w:pPr>
            <w:r>
              <w:rPr>
                <w:rFonts w:hint="eastAsia" w:ascii="宋体" w:hAnsi="宋体"/>
                <w:color w:val="auto"/>
                <w:kern w:val="0"/>
                <w:highlight w:val="none"/>
              </w:rPr>
              <w:t>检查装置是否具备自检功能，能够诊断操作系统状态（磁盘容量、内存容量、CPU占用率）、应用软件状态以及与在线监测装置通信状态等，并以告警形式上送主站系统；</w:t>
            </w:r>
          </w:p>
          <w:p>
            <w:pPr>
              <w:numPr>
                <w:ilvl w:val="0"/>
                <w:numId w:val="44"/>
              </w:numPr>
              <w:autoSpaceDE w:val="0"/>
              <w:autoSpaceDN w:val="0"/>
              <w:jc w:val="left"/>
              <w:rPr>
                <w:rFonts w:ascii="宋体" w:hAnsi="宋体"/>
                <w:color w:val="auto"/>
                <w:kern w:val="0"/>
                <w:highlight w:val="none"/>
              </w:rPr>
            </w:pPr>
            <w:r>
              <w:rPr>
                <w:rFonts w:hint="eastAsia" w:ascii="宋体" w:hAnsi="宋体"/>
                <w:color w:val="auto"/>
                <w:kern w:val="0"/>
                <w:highlight w:val="none"/>
              </w:rPr>
              <w:t>模拟产生各类日志，检查是否具备日志功能，包括记录自身运行状况等各类日志；从主站查询日志文件，检查是否支持日志的远方查询功能；</w:t>
            </w:r>
          </w:p>
          <w:p>
            <w:pPr>
              <w:numPr>
                <w:ilvl w:val="0"/>
                <w:numId w:val="44"/>
              </w:numPr>
              <w:autoSpaceDE w:val="0"/>
              <w:autoSpaceDN w:val="0"/>
              <w:jc w:val="left"/>
              <w:rPr>
                <w:rFonts w:ascii="宋体" w:hAnsi="宋体"/>
                <w:color w:val="auto"/>
                <w:highlight w:val="none"/>
              </w:rPr>
            </w:pPr>
            <w:r>
              <w:rPr>
                <w:rFonts w:hint="eastAsia" w:ascii="宋体" w:hAnsi="宋体"/>
                <w:color w:val="auto"/>
                <w:kern w:val="0"/>
                <w:highlight w:val="none"/>
              </w:rPr>
              <w:t>模拟出现异常供电、进程异常终止等情况后，检查系统（进程）能够自动恢复正常运行，且存储数据不丢失。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64" w:name="_Toc528273543"/>
      <w:r>
        <w:rPr>
          <w:rFonts w:hint="eastAsia"/>
          <w:color w:val="auto"/>
          <w:sz w:val="24"/>
          <w:szCs w:val="24"/>
          <w:highlight w:val="none"/>
        </w:rPr>
        <w:t>系统配置和维护功能检验</w:t>
      </w:r>
      <w:bookmarkEnd w:id="16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系统配置和维护检验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Mon05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具备工程化组态配置工具。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检查</w:t>
            </w:r>
            <w:r>
              <w:rPr>
                <w:rFonts w:ascii="宋体" w:hAnsi="宋体"/>
                <w:color w:val="auto"/>
                <w:highlight w:val="none"/>
              </w:rPr>
              <w:t>智能远动机是否有配套的在线监测工程化组态配置工具，</w:t>
            </w:r>
            <w:r>
              <w:rPr>
                <w:rFonts w:hint="eastAsia" w:ascii="宋体" w:hAnsi="宋体"/>
                <w:color w:val="auto"/>
                <w:highlight w:val="none"/>
              </w:rPr>
              <w:t>使用配置工具进行配置，检查配置是否正确。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65" w:name="_Toc528273544"/>
      <w:r>
        <w:rPr>
          <w:rFonts w:hint="eastAsia"/>
          <w:color w:val="auto"/>
          <w:sz w:val="24"/>
          <w:szCs w:val="24"/>
          <w:highlight w:val="none"/>
        </w:rPr>
        <w:t>人机交互功能检验</w:t>
      </w:r>
      <w:bookmarkEnd w:id="16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Arial" w:hAnsi="Arial" w:cs="Arial"/>
                <w:color w:val="auto"/>
                <w:szCs w:val="21"/>
                <w:highlight w:val="none"/>
              </w:rPr>
              <w:t>人机交互功能</w:t>
            </w:r>
            <w:r>
              <w:rPr>
                <w:rFonts w:hint="eastAsia" w:ascii="宋体" w:hAnsi="宋体"/>
                <w:color w:val="auto"/>
                <w:highlight w:val="none"/>
              </w:rPr>
              <w:t>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Mon06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5"/>
              </w:numPr>
              <w:autoSpaceDE w:val="0"/>
              <w:autoSpaceDN w:val="0"/>
              <w:jc w:val="left"/>
              <w:rPr>
                <w:rFonts w:ascii="宋体" w:hAnsi="宋体"/>
                <w:color w:val="auto"/>
                <w:kern w:val="0"/>
                <w:highlight w:val="none"/>
              </w:rPr>
            </w:pPr>
            <w:r>
              <w:rPr>
                <w:rFonts w:hint="eastAsia" w:ascii="宋体" w:hAnsi="宋体"/>
                <w:color w:val="auto"/>
                <w:kern w:val="0"/>
                <w:highlight w:val="none"/>
              </w:rPr>
              <w:t>应提供操作友好的图形化人机界面（Web或CS客户端），具备数据浏览、数据导出等功能；</w:t>
            </w:r>
          </w:p>
          <w:p>
            <w:pPr>
              <w:numPr>
                <w:ilvl w:val="0"/>
                <w:numId w:val="45"/>
              </w:numPr>
              <w:autoSpaceDE w:val="0"/>
              <w:autoSpaceDN w:val="0"/>
              <w:jc w:val="left"/>
              <w:rPr>
                <w:rFonts w:ascii="宋体" w:hAnsi="宋体"/>
                <w:color w:val="auto"/>
                <w:kern w:val="0"/>
                <w:highlight w:val="none"/>
              </w:rPr>
            </w:pPr>
            <w:r>
              <w:rPr>
                <w:rFonts w:hint="eastAsia" w:ascii="宋体" w:hAnsi="宋体"/>
                <w:color w:val="auto"/>
                <w:kern w:val="0"/>
                <w:highlight w:val="none"/>
              </w:rPr>
              <w:t>能够对接入的在线监测装置的基本信息，包括装置类型、IP地址、连接状态、数据列表等进行展示；</w:t>
            </w:r>
          </w:p>
          <w:p>
            <w:pPr>
              <w:numPr>
                <w:ilvl w:val="0"/>
                <w:numId w:val="45"/>
              </w:numPr>
              <w:autoSpaceDE w:val="0"/>
              <w:autoSpaceDN w:val="0"/>
              <w:jc w:val="left"/>
              <w:rPr>
                <w:rFonts w:ascii="宋体" w:hAnsi="宋体"/>
                <w:color w:val="auto"/>
                <w:kern w:val="0"/>
                <w:highlight w:val="none"/>
              </w:rPr>
            </w:pPr>
            <w:r>
              <w:rPr>
                <w:rFonts w:hint="eastAsia" w:ascii="宋体" w:hAnsi="宋体"/>
                <w:color w:val="auto"/>
                <w:kern w:val="0"/>
                <w:highlight w:val="none"/>
              </w:rPr>
              <w:t>能够以列表方式展示监测数据（实时数据和历史数据），并实现不同装置、时间段、数据类型（状态量、量测量等）等条件组合查询；</w:t>
            </w:r>
          </w:p>
          <w:p>
            <w:pPr>
              <w:numPr>
                <w:ilvl w:val="0"/>
                <w:numId w:val="45"/>
              </w:numPr>
              <w:autoSpaceDE w:val="0"/>
              <w:autoSpaceDN w:val="0"/>
              <w:jc w:val="left"/>
              <w:rPr>
                <w:rFonts w:ascii="宋体" w:hAnsi="宋体"/>
                <w:color w:val="auto"/>
                <w:kern w:val="0"/>
                <w:highlight w:val="none"/>
              </w:rPr>
            </w:pPr>
            <w:r>
              <w:rPr>
                <w:rFonts w:hint="eastAsia" w:ascii="宋体" w:hAnsi="宋体"/>
                <w:color w:val="auto"/>
                <w:kern w:val="0"/>
                <w:highlight w:val="none"/>
              </w:rPr>
              <w:t>能够以列表方式展示综合处理单元告警信息（实时数据和历史数据），并实现时间段、告警类型等条件组合查询；</w:t>
            </w:r>
          </w:p>
          <w:p>
            <w:pPr>
              <w:numPr>
                <w:ilvl w:val="0"/>
                <w:numId w:val="45"/>
              </w:numPr>
              <w:autoSpaceDE w:val="0"/>
              <w:autoSpaceDN w:val="0"/>
              <w:jc w:val="left"/>
              <w:rPr>
                <w:rFonts w:ascii="宋体" w:hAnsi="宋体"/>
                <w:color w:val="auto"/>
                <w:kern w:val="0"/>
                <w:highlight w:val="none"/>
              </w:rPr>
            </w:pPr>
            <w:r>
              <w:rPr>
                <w:rFonts w:hint="eastAsia" w:ascii="宋体" w:hAnsi="宋体"/>
                <w:color w:val="auto"/>
                <w:kern w:val="0"/>
                <w:highlight w:val="none"/>
              </w:rPr>
              <w:t>能够以列表方式展示谱图文件列表，并实现不同装置、时间段、谱图文件类型等条件组合查询。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6"/>
              </w:numPr>
              <w:autoSpaceDE w:val="0"/>
              <w:autoSpaceDN w:val="0"/>
              <w:jc w:val="left"/>
              <w:rPr>
                <w:rFonts w:ascii="宋体" w:hAnsi="宋体"/>
                <w:color w:val="auto"/>
                <w:highlight w:val="none"/>
              </w:rPr>
            </w:pPr>
            <w:r>
              <w:rPr>
                <w:rFonts w:hint="eastAsia" w:ascii="宋体" w:hAnsi="宋体"/>
                <w:color w:val="auto"/>
                <w:highlight w:val="none"/>
              </w:rPr>
              <w:t>检查智能远动机是否提供操作图形化人机界面（Web或CS客户端），具备数据浏览、数据导出等功能；</w:t>
            </w:r>
          </w:p>
          <w:p>
            <w:pPr>
              <w:numPr>
                <w:ilvl w:val="0"/>
                <w:numId w:val="46"/>
              </w:numPr>
              <w:autoSpaceDE w:val="0"/>
              <w:autoSpaceDN w:val="0"/>
              <w:jc w:val="left"/>
              <w:rPr>
                <w:rFonts w:ascii="宋体" w:hAnsi="宋体"/>
                <w:color w:val="auto"/>
                <w:highlight w:val="none"/>
              </w:rPr>
            </w:pPr>
            <w:r>
              <w:rPr>
                <w:rFonts w:hint="eastAsia" w:ascii="宋体" w:hAnsi="宋体"/>
                <w:color w:val="auto"/>
                <w:highlight w:val="none"/>
              </w:rPr>
              <w:t>检查智能远动机是否能够对接入的在线监测装置的基本信息，包括装置类型、IP地址、连接状态、数据列表等进行展示；</w:t>
            </w:r>
          </w:p>
          <w:p>
            <w:pPr>
              <w:numPr>
                <w:ilvl w:val="0"/>
                <w:numId w:val="46"/>
              </w:numPr>
              <w:autoSpaceDE w:val="0"/>
              <w:autoSpaceDN w:val="0"/>
              <w:jc w:val="left"/>
              <w:rPr>
                <w:rFonts w:ascii="宋体" w:hAnsi="宋体"/>
                <w:color w:val="auto"/>
                <w:highlight w:val="none"/>
              </w:rPr>
            </w:pPr>
            <w:r>
              <w:rPr>
                <w:rFonts w:hint="eastAsia" w:ascii="宋体" w:hAnsi="宋体"/>
                <w:color w:val="auto"/>
                <w:highlight w:val="none"/>
              </w:rPr>
              <w:t>检查智能远动机是否能够以列表方式展示监测数据（实时数据和历史数据），并实现不同装置、时间段、数据类型（状态量、量测量等）等条件组合查询；</w:t>
            </w:r>
          </w:p>
          <w:p>
            <w:pPr>
              <w:numPr>
                <w:ilvl w:val="0"/>
                <w:numId w:val="46"/>
              </w:numPr>
              <w:autoSpaceDE w:val="0"/>
              <w:autoSpaceDN w:val="0"/>
              <w:jc w:val="left"/>
              <w:rPr>
                <w:rFonts w:ascii="宋体" w:hAnsi="宋体"/>
                <w:color w:val="auto"/>
                <w:highlight w:val="none"/>
              </w:rPr>
            </w:pPr>
            <w:r>
              <w:rPr>
                <w:rFonts w:hint="eastAsia" w:ascii="宋体" w:hAnsi="宋体"/>
                <w:color w:val="auto"/>
                <w:highlight w:val="none"/>
              </w:rPr>
              <w:t>检查智能远动机是否能够以列表方式展示综合处理单元告警信息（实时数据和历史数据），并实现时间段、告警类型等条件组合查询；</w:t>
            </w:r>
          </w:p>
          <w:p>
            <w:pPr>
              <w:numPr>
                <w:ilvl w:val="0"/>
                <w:numId w:val="46"/>
              </w:numPr>
              <w:autoSpaceDE w:val="0"/>
              <w:autoSpaceDN w:val="0"/>
              <w:jc w:val="left"/>
              <w:rPr>
                <w:rFonts w:ascii="宋体" w:hAnsi="宋体"/>
                <w:color w:val="auto"/>
                <w:highlight w:val="none"/>
              </w:rPr>
            </w:pPr>
            <w:r>
              <w:rPr>
                <w:rFonts w:hint="eastAsia" w:ascii="宋体" w:hAnsi="宋体"/>
                <w:color w:val="auto"/>
                <w:highlight w:val="none"/>
              </w:rPr>
              <w:t>检查智能远动机是否能够以列表方式展示谱图文件列表，并实现不同装置、时间段、谱图文件类型等条件组合查询。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66" w:name="_Toc528273545"/>
      <w:r>
        <w:rPr>
          <w:rFonts w:hint="eastAsia"/>
          <w:color w:val="auto"/>
          <w:sz w:val="24"/>
          <w:szCs w:val="24"/>
          <w:highlight w:val="none"/>
        </w:rPr>
        <w:t>性能检验</w:t>
      </w:r>
      <w:bookmarkEnd w:id="16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性能检验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Mon07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XXX-XXXX 设备在线监测综合处理单元技术要求（试行）5</w:t>
            </w:r>
            <w:r>
              <w:rPr>
                <w:rFonts w:ascii="宋体" w:hAnsi="宋体"/>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7"/>
              </w:numPr>
              <w:autoSpaceDE w:val="0"/>
              <w:autoSpaceDN w:val="0"/>
              <w:jc w:val="left"/>
              <w:rPr>
                <w:rFonts w:ascii="宋体" w:hAnsi="宋体"/>
                <w:color w:val="auto"/>
                <w:kern w:val="0"/>
                <w:highlight w:val="none"/>
              </w:rPr>
            </w:pPr>
            <w:r>
              <w:rPr>
                <w:rFonts w:hint="eastAsia" w:ascii="宋体" w:hAnsi="宋体"/>
                <w:color w:val="auto"/>
                <w:kern w:val="0"/>
                <w:highlight w:val="none"/>
              </w:rPr>
              <w:t>支持同时连接不少于32台不同类型的在线监测装置；</w:t>
            </w:r>
          </w:p>
          <w:p>
            <w:pPr>
              <w:numPr>
                <w:ilvl w:val="0"/>
                <w:numId w:val="47"/>
              </w:numPr>
              <w:autoSpaceDE w:val="0"/>
              <w:autoSpaceDN w:val="0"/>
              <w:jc w:val="left"/>
              <w:rPr>
                <w:rFonts w:ascii="宋体" w:hAnsi="宋体"/>
                <w:color w:val="auto"/>
                <w:kern w:val="0"/>
                <w:highlight w:val="none"/>
              </w:rPr>
            </w:pPr>
            <w:r>
              <w:rPr>
                <w:rFonts w:hint="eastAsia" w:ascii="宋体" w:hAnsi="宋体"/>
                <w:color w:val="auto"/>
                <w:kern w:val="0"/>
                <w:highlight w:val="none"/>
              </w:rPr>
              <w:t>支持同时连接不少于8个客户端（主站系统、客户端软件）；</w:t>
            </w:r>
          </w:p>
          <w:p>
            <w:pPr>
              <w:numPr>
                <w:ilvl w:val="0"/>
                <w:numId w:val="47"/>
              </w:numPr>
              <w:autoSpaceDE w:val="0"/>
              <w:autoSpaceDN w:val="0"/>
              <w:jc w:val="left"/>
              <w:rPr>
                <w:rFonts w:ascii="宋体" w:hAnsi="宋体"/>
                <w:color w:val="auto"/>
                <w:kern w:val="0"/>
                <w:highlight w:val="none"/>
              </w:rPr>
            </w:pPr>
            <w:r>
              <w:rPr>
                <w:rFonts w:hint="eastAsia" w:ascii="宋体" w:hAnsi="宋体"/>
                <w:color w:val="auto"/>
                <w:kern w:val="0"/>
                <w:highlight w:val="none"/>
              </w:rPr>
              <w:t>实时监测数据响应时间（从I/O变化到综合处理单元出口）≤3s；</w:t>
            </w:r>
          </w:p>
          <w:p>
            <w:pPr>
              <w:numPr>
                <w:ilvl w:val="0"/>
                <w:numId w:val="47"/>
              </w:numPr>
              <w:autoSpaceDE w:val="0"/>
              <w:autoSpaceDN w:val="0"/>
              <w:jc w:val="left"/>
              <w:rPr>
                <w:rFonts w:ascii="宋体" w:hAnsi="宋体"/>
                <w:color w:val="auto"/>
                <w:kern w:val="0"/>
                <w:highlight w:val="none"/>
              </w:rPr>
            </w:pPr>
            <w:r>
              <w:rPr>
                <w:rFonts w:hint="eastAsia" w:ascii="宋体" w:hAnsi="宋体"/>
                <w:color w:val="auto"/>
                <w:kern w:val="0"/>
                <w:highlight w:val="none"/>
              </w:rPr>
              <w:t>主站系统召唤综合处理单元谱图时，单个谱图文件响应时间≤8s；</w:t>
            </w:r>
          </w:p>
          <w:p>
            <w:pPr>
              <w:numPr>
                <w:ilvl w:val="0"/>
                <w:numId w:val="47"/>
              </w:numPr>
              <w:autoSpaceDE w:val="0"/>
              <w:autoSpaceDN w:val="0"/>
              <w:jc w:val="left"/>
              <w:rPr>
                <w:rFonts w:ascii="宋体" w:hAnsi="宋体"/>
                <w:color w:val="auto"/>
                <w:kern w:val="0"/>
                <w:highlight w:val="none"/>
              </w:rPr>
            </w:pPr>
            <w:r>
              <w:rPr>
                <w:rFonts w:hint="eastAsia" w:ascii="宋体" w:hAnsi="宋体"/>
                <w:color w:val="auto"/>
                <w:kern w:val="0"/>
                <w:highlight w:val="none"/>
              </w:rPr>
              <w:t>平均无故障工作时间（MTBF）大于17520小时。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8"/>
              </w:numPr>
              <w:autoSpaceDE w:val="0"/>
              <w:autoSpaceDN w:val="0"/>
              <w:jc w:val="left"/>
              <w:rPr>
                <w:rFonts w:ascii="宋体" w:hAnsi="宋体"/>
                <w:color w:val="auto"/>
                <w:kern w:val="0"/>
                <w:highlight w:val="none"/>
              </w:rPr>
            </w:pPr>
            <w:r>
              <w:rPr>
                <w:rFonts w:hint="eastAsia" w:ascii="宋体" w:hAnsi="宋体"/>
                <w:color w:val="auto"/>
                <w:kern w:val="0"/>
                <w:highlight w:val="none"/>
              </w:rPr>
              <w:t>检查智能远动机是否支持同时连接不少于32台不同类型的在线监测装置；</w:t>
            </w:r>
          </w:p>
          <w:p>
            <w:pPr>
              <w:numPr>
                <w:ilvl w:val="0"/>
                <w:numId w:val="48"/>
              </w:numPr>
              <w:autoSpaceDE w:val="0"/>
              <w:autoSpaceDN w:val="0"/>
              <w:jc w:val="left"/>
              <w:rPr>
                <w:rFonts w:ascii="宋体" w:hAnsi="宋体"/>
                <w:color w:val="auto"/>
                <w:kern w:val="0"/>
                <w:highlight w:val="none"/>
              </w:rPr>
            </w:pPr>
            <w:r>
              <w:rPr>
                <w:rFonts w:hint="eastAsia" w:ascii="宋体" w:hAnsi="宋体"/>
                <w:color w:val="auto"/>
                <w:kern w:val="0"/>
                <w:highlight w:val="none"/>
              </w:rPr>
              <w:t>检查智能远动机是否支持同时连接不少于8个客户端（主站系统、客户端软件）；</w:t>
            </w:r>
          </w:p>
          <w:p>
            <w:pPr>
              <w:numPr>
                <w:ilvl w:val="0"/>
                <w:numId w:val="48"/>
              </w:numPr>
              <w:autoSpaceDE w:val="0"/>
              <w:autoSpaceDN w:val="0"/>
              <w:jc w:val="left"/>
              <w:rPr>
                <w:rFonts w:ascii="宋体" w:hAnsi="宋体"/>
                <w:color w:val="auto"/>
                <w:kern w:val="0"/>
                <w:highlight w:val="none"/>
              </w:rPr>
            </w:pPr>
            <w:r>
              <w:rPr>
                <w:rFonts w:hint="eastAsia" w:ascii="宋体" w:hAnsi="宋体"/>
                <w:color w:val="auto"/>
                <w:kern w:val="0"/>
                <w:highlight w:val="none"/>
              </w:rPr>
              <w:t>检查智能远动机实时监测数据响应时间（从I/O变化到综合处理单元出口）≤3s；</w:t>
            </w:r>
          </w:p>
          <w:p>
            <w:pPr>
              <w:numPr>
                <w:ilvl w:val="0"/>
                <w:numId w:val="48"/>
              </w:numPr>
              <w:autoSpaceDE w:val="0"/>
              <w:autoSpaceDN w:val="0"/>
              <w:jc w:val="left"/>
              <w:rPr>
                <w:rFonts w:ascii="宋体" w:hAnsi="宋体"/>
                <w:color w:val="auto"/>
                <w:kern w:val="0"/>
                <w:highlight w:val="none"/>
              </w:rPr>
            </w:pPr>
            <w:r>
              <w:rPr>
                <w:rFonts w:hint="eastAsia" w:ascii="宋体" w:hAnsi="宋体"/>
                <w:color w:val="auto"/>
                <w:kern w:val="0"/>
                <w:highlight w:val="none"/>
              </w:rPr>
              <w:t>从主站系统召唤综合处理单元谱图，检查单个谱图文件响应时间是否≤8s；</w:t>
            </w:r>
          </w:p>
          <w:p>
            <w:pPr>
              <w:rPr>
                <w:color w:val="auto"/>
                <w:highlight w:val="none"/>
              </w:rPr>
            </w:pPr>
            <w:r>
              <w:rPr>
                <w:rFonts w:hint="eastAsia" w:ascii="宋体" w:hAnsi="宋体"/>
                <w:color w:val="auto"/>
                <w:kern w:val="0"/>
                <w:highlight w:val="none"/>
              </w:rPr>
              <w:t>5</w:t>
            </w:r>
            <w:r>
              <w:rPr>
                <w:rFonts w:ascii="宋体" w:hAnsi="宋体"/>
                <w:color w:val="auto"/>
                <w:kern w:val="0"/>
                <w:highlight w:val="none"/>
              </w:rPr>
              <w:t xml:space="preserve">   观察</w:t>
            </w:r>
            <w:r>
              <w:rPr>
                <w:rFonts w:hint="eastAsia" w:ascii="宋体" w:hAnsi="宋体"/>
                <w:color w:val="auto"/>
                <w:kern w:val="0"/>
                <w:highlight w:val="none"/>
              </w:rPr>
              <w:t>装置在测试期间是否出现死机、重启等无法正常工作的异常现象。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rPr>
          <w:color w:val="auto"/>
          <w:highlight w:val="none"/>
        </w:rPr>
      </w:pPr>
    </w:p>
    <w:p>
      <w:pPr>
        <w:pStyle w:val="3"/>
        <w:rPr>
          <w:color w:val="auto"/>
          <w:sz w:val="24"/>
          <w:szCs w:val="24"/>
          <w:highlight w:val="none"/>
        </w:rPr>
      </w:pPr>
      <w:bookmarkStart w:id="167" w:name="_Toc528273546"/>
      <w:bookmarkStart w:id="168" w:name="_Toc49258172"/>
      <w:r>
        <w:rPr>
          <w:rFonts w:hint="eastAsia"/>
          <w:color w:val="auto"/>
          <w:sz w:val="24"/>
          <w:szCs w:val="24"/>
          <w:highlight w:val="none"/>
        </w:rPr>
        <w:t>远程浏览功能检验</w:t>
      </w:r>
      <w:bookmarkEnd w:id="167"/>
      <w:bookmarkEnd w:id="168"/>
    </w:p>
    <w:p>
      <w:pPr>
        <w:pStyle w:val="5"/>
        <w:rPr>
          <w:color w:val="auto"/>
          <w:sz w:val="24"/>
          <w:szCs w:val="24"/>
          <w:highlight w:val="none"/>
        </w:rPr>
      </w:pPr>
      <w:bookmarkStart w:id="169" w:name="_Toc528273547"/>
      <w:r>
        <w:rPr>
          <w:rFonts w:hint="eastAsia"/>
          <w:color w:val="auto"/>
          <w:sz w:val="24"/>
          <w:szCs w:val="24"/>
          <w:highlight w:val="none"/>
        </w:rPr>
        <w:t>画面调用规范检验</w:t>
      </w:r>
      <w:bookmarkEnd w:id="16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画面调用规范检验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Reb01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智能远动网关技术规范7.2</w:t>
            </w:r>
          </w:p>
          <w:p>
            <w:pPr>
              <w:rPr>
                <w:rFonts w:ascii="宋体" w:hAnsi="宋体"/>
                <w:color w:val="auto"/>
                <w:highlight w:val="none"/>
              </w:rPr>
            </w:pPr>
            <w:r>
              <w:rPr>
                <w:rFonts w:hint="eastAsia" w:ascii="宋体" w:hAnsi="宋体"/>
                <w:color w:val="auto"/>
                <w:highlight w:val="none"/>
              </w:rPr>
              <w:t>Q/CSG 1204005.310-2014南方电网一体化电网运行智能系统技术规范 第3部分：数据 第10篇：通用画面调用技术规范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子站图形网关作为服务端提供图形远程服务功能，响应主站发起的请求，实现画面和数据的传输服务。本子站段可调用的画面文件格式必须符合标准的SVG协议。被调用画面的变化数据服务格式为扩展的DL476协议。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kern w:val="0"/>
                <w:highlight w:val="none"/>
              </w:rPr>
              <w:t>使用第三方工具检查画面文件格式为SVG格式文件，使用支持远程画面调用的主站检查被调用画面的变化数据服务格式为扩展的DL476协议。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70" w:name="_Toc528273548"/>
      <w:r>
        <w:rPr>
          <w:rFonts w:hint="eastAsia"/>
          <w:color w:val="auto"/>
          <w:sz w:val="24"/>
          <w:szCs w:val="24"/>
          <w:highlight w:val="none"/>
        </w:rPr>
        <w:t>画面请求功能检验</w:t>
      </w:r>
      <w:bookmarkEnd w:id="17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画面请求功能检验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Reb02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智能远动网关技术规范7.2</w:t>
            </w:r>
          </w:p>
          <w:p>
            <w:pPr>
              <w:rPr>
                <w:rFonts w:ascii="宋体" w:hAnsi="宋体"/>
                <w:color w:val="auto"/>
                <w:highlight w:val="none"/>
              </w:rPr>
            </w:pPr>
            <w:r>
              <w:rPr>
                <w:rFonts w:hint="eastAsia" w:ascii="宋体" w:hAnsi="宋体"/>
                <w:color w:val="auto"/>
                <w:highlight w:val="none"/>
              </w:rPr>
              <w:t>Q/CSG 1204005.310-2014南方电网一体化电网运行智能系统技术规范 第3部分：数据 第10篇：通用画面调用技术规范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子站应支持画面文件的上送。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kern w:val="0"/>
                <w:highlight w:val="none"/>
              </w:rPr>
              <w:t>启动远程浏览进程后，主站发送画面调阅请求，检查子站是否正确接收并解析主站调阅请求。子站正确接收、解析主站调阅请求后能够上送站端首页画面SVG至主站。主站通过点击首页画面下发调取间隔分图命令，检查子站是否正确响应并上送正确的间隔分图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71" w:name="_Toc528273549"/>
      <w:r>
        <w:rPr>
          <w:rFonts w:hint="eastAsia"/>
          <w:color w:val="auto"/>
          <w:sz w:val="24"/>
          <w:szCs w:val="24"/>
          <w:highlight w:val="none"/>
        </w:rPr>
        <w:t>画面数据刷新功能检验</w:t>
      </w:r>
      <w:bookmarkEnd w:id="17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画面数据刷新功能检验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Reb03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智能远动网关技术规范7.2</w:t>
            </w:r>
          </w:p>
          <w:p>
            <w:pPr>
              <w:rPr>
                <w:rFonts w:ascii="宋体" w:hAnsi="宋体"/>
                <w:color w:val="auto"/>
                <w:highlight w:val="none"/>
              </w:rPr>
            </w:pPr>
            <w:r>
              <w:rPr>
                <w:rFonts w:hint="eastAsia" w:ascii="宋体" w:hAnsi="宋体"/>
                <w:color w:val="auto"/>
                <w:highlight w:val="none"/>
              </w:rPr>
              <w:t>Q/CSG 1204005.310-2014南方电网一体化电网运行智能系统技术规范 第3部分：数据 第10篇：通用画面调用技术规范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子站支持主站通过数据刷新请求浏览变电站实时画面数据。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hAnsi="宋体"/>
                <w:color w:val="auto"/>
                <w:szCs w:val="21"/>
                <w:highlight w:val="none"/>
              </w:rPr>
              <w:t>主站解析首页画面后，自动发送数据刷新服务请求，检查子站能否响应数据刷新服务请求，上送全数据的当前值。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72" w:name="_Toc528273550"/>
      <w:r>
        <w:rPr>
          <w:rFonts w:hint="eastAsia"/>
          <w:color w:val="auto"/>
          <w:sz w:val="24"/>
          <w:szCs w:val="24"/>
          <w:highlight w:val="none"/>
        </w:rPr>
        <w:t>图形文件版本管理功能检验</w:t>
      </w:r>
      <w:bookmarkEnd w:id="17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图形文件版本管理功能检验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Reb04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子站本地图形发生变化时，能够自动完成文件格式转换。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分别修改子站主画面图和间隔分图，</w:t>
            </w:r>
            <w:r>
              <w:rPr>
                <w:rFonts w:hint="eastAsia" w:ascii="宋体" w:hAnsi="宋体"/>
                <w:color w:val="auto"/>
                <w:kern w:val="0"/>
                <w:highlight w:val="none"/>
              </w:rPr>
              <w:t>检查</w:t>
            </w:r>
            <w:r>
              <w:rPr>
                <w:rFonts w:hint="eastAsia" w:ascii="宋体" w:hAnsi="宋体"/>
                <w:color w:val="auto"/>
                <w:highlight w:val="none"/>
              </w:rPr>
              <w:t>主站刷新后是否能正确显示变化后的图形。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173" w:name="_Toc528273551"/>
      <w:bookmarkStart w:id="174" w:name="_Toc49258173"/>
      <w:r>
        <w:rPr>
          <w:rFonts w:hint="eastAsia"/>
          <w:color w:val="auto"/>
          <w:sz w:val="24"/>
          <w:szCs w:val="24"/>
          <w:highlight w:val="none"/>
        </w:rPr>
        <w:t>源端维护功能检验</w:t>
      </w:r>
      <w:bookmarkEnd w:id="173"/>
      <w:bookmarkEnd w:id="174"/>
    </w:p>
    <w:p>
      <w:pPr>
        <w:pStyle w:val="5"/>
        <w:rPr>
          <w:color w:val="auto"/>
          <w:sz w:val="24"/>
          <w:szCs w:val="24"/>
          <w:highlight w:val="none"/>
        </w:rPr>
      </w:pPr>
      <w:bookmarkStart w:id="175" w:name="_Toc488415023"/>
      <w:bookmarkEnd w:id="175"/>
      <w:bookmarkStart w:id="176" w:name="_Toc492304858"/>
      <w:bookmarkEnd w:id="176"/>
      <w:bookmarkStart w:id="177" w:name="_Toc488414444"/>
      <w:bookmarkEnd w:id="177"/>
      <w:bookmarkStart w:id="178" w:name="_Toc528273552"/>
      <w:r>
        <w:rPr>
          <w:rFonts w:hint="eastAsia"/>
          <w:color w:val="auto"/>
          <w:sz w:val="24"/>
          <w:szCs w:val="24"/>
          <w:highlight w:val="none"/>
        </w:rPr>
        <w:t>模型文件校验功能检验</w:t>
      </w:r>
      <w:bookmarkEnd w:id="17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模型文件校验功能检验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Src01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智能远动网关技术规范7.3</w:t>
            </w:r>
          </w:p>
          <w:p>
            <w:pPr>
              <w:rPr>
                <w:rFonts w:ascii="宋体" w:hAnsi="宋体"/>
                <w:color w:val="auto"/>
                <w:highlight w:val="none"/>
              </w:rPr>
            </w:pPr>
            <w:r>
              <w:rPr>
                <w:rFonts w:ascii="宋体" w:hAnsi="宋体"/>
                <w:color w:val="auto"/>
                <w:highlight w:val="none"/>
              </w:rPr>
              <w:t>Q/CSG XXX-XXXX</w:t>
            </w:r>
            <w:r>
              <w:rPr>
                <w:rFonts w:hint="eastAsia" w:ascii="宋体" w:hAnsi="宋体"/>
                <w:color w:val="auto"/>
                <w:highlight w:val="none"/>
              </w:rPr>
              <w:t>南方电网智能远动机源端维护与订阅发布技术规范6.</w:t>
            </w:r>
            <w:r>
              <w:rPr>
                <w:rFonts w:ascii="宋体" w:hAnsi="宋体"/>
                <w:color w:val="auto"/>
                <w:highlight w:val="none"/>
              </w:rPr>
              <w:t>7.1</w:t>
            </w:r>
          </w:p>
          <w:p>
            <w:pPr>
              <w:rPr>
                <w:rFonts w:ascii="宋体" w:hAnsi="宋体"/>
                <w:color w:val="auto"/>
                <w:highlight w:val="none"/>
              </w:rPr>
            </w:pPr>
            <w:r>
              <w:rPr>
                <w:rFonts w:hint="eastAsia" w:ascii="宋体" w:hAnsi="宋体"/>
                <w:color w:val="auto"/>
                <w:highlight w:val="none"/>
              </w:rPr>
              <w:t>Q/CSG XXX-XXXX 南方电网变电站CIM模型文件生成技术规范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模型校验工具能够对CIM、SVG文件进行校验，标出模型文件增、改、删以后的变化部分。下载到智能远动机的CIM、SVG文件应是经过校验正确以及模型变化得到认可的文件，校验规则符合</w:t>
            </w:r>
            <w:r>
              <w:rPr>
                <w:rFonts w:hint="eastAsia" w:ascii="宋体" w:hAnsi="宋体"/>
                <w:color w:val="auto"/>
                <w:highlight w:val="none"/>
              </w:rPr>
              <w:t>Q/CSG XXX-XXXX 南方电网变电站CIM模型文件生成技术规范。</w:t>
            </w:r>
          </w:p>
          <w:p>
            <w:pPr>
              <w:autoSpaceDE w:val="0"/>
              <w:autoSpaceDN w:val="0"/>
              <w:jc w:val="left"/>
              <w:rPr>
                <w:rFonts w:ascii="宋体" w:hAnsi="宋体"/>
                <w:color w:val="auto"/>
                <w:kern w:val="0"/>
                <w:highlight w:val="none"/>
              </w:rPr>
            </w:pPr>
            <w:r>
              <w:rPr>
                <w:rFonts w:hint="eastAsia" w:ascii="宋体" w:hAnsi="宋体"/>
                <w:color w:val="auto"/>
                <w:kern w:val="0"/>
                <w:highlight w:val="none"/>
              </w:rPr>
              <w:t>子站应对主站下载的MAP文件进行校验，校验失败时应返回失败应答给主站。MAP文件校验规则包括：a)首先检查MAP文件的格式是否正确；b)检查CIM文件版本是否和本地一致；c)检查MAP文件中所有测点是否都可以关联到本地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对</w:t>
            </w:r>
            <w:r>
              <w:rPr>
                <w:rFonts w:hint="eastAsia" w:ascii="宋体" w:hAnsi="宋体"/>
                <w:color w:val="auto"/>
                <w:highlight w:val="none"/>
              </w:rPr>
              <w:t>CIM文件进行增、删、改操作，检查校验工具是否能够检验出变化的部分。</w:t>
            </w:r>
          </w:p>
          <w:p>
            <w:pPr>
              <w:autoSpaceDE w:val="0"/>
              <w:autoSpaceDN w:val="0"/>
              <w:jc w:val="left"/>
              <w:rPr>
                <w:rFonts w:ascii="宋体" w:hAnsi="宋体"/>
                <w:color w:val="auto"/>
                <w:highlight w:val="none"/>
              </w:rPr>
            </w:pPr>
            <w:r>
              <w:rPr>
                <w:rFonts w:ascii="宋体" w:hAnsi="宋体"/>
                <w:color w:val="auto"/>
                <w:highlight w:val="none"/>
              </w:rPr>
              <w:t>模拟下发错误格式的</w:t>
            </w:r>
            <w:r>
              <w:rPr>
                <w:rFonts w:hint="eastAsia" w:ascii="宋体" w:hAnsi="宋体"/>
                <w:color w:val="auto"/>
                <w:highlight w:val="none"/>
              </w:rPr>
              <w:t>CIM文件，检查校验工具是否能够检验出相应错误。</w:t>
            </w:r>
          </w:p>
          <w:p>
            <w:pPr>
              <w:autoSpaceDE w:val="0"/>
              <w:autoSpaceDN w:val="0"/>
              <w:jc w:val="left"/>
              <w:rPr>
                <w:rFonts w:ascii="宋体" w:hAnsi="宋体"/>
                <w:color w:val="auto"/>
                <w:highlight w:val="none"/>
              </w:rPr>
            </w:pPr>
            <w:r>
              <w:rPr>
                <w:rFonts w:ascii="宋体" w:hAnsi="宋体"/>
                <w:color w:val="auto"/>
                <w:highlight w:val="none"/>
              </w:rPr>
              <w:t>模拟主站下发错误的</w:t>
            </w:r>
            <w:r>
              <w:rPr>
                <w:rFonts w:hint="eastAsia" w:ascii="宋体" w:hAnsi="宋体"/>
                <w:color w:val="auto"/>
                <w:highlight w:val="none"/>
              </w:rPr>
              <w:t>MAP文件或动态数据集，检查远动机是否能产生告警信息。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79" w:name="_Toc528273553"/>
      <w:r>
        <w:rPr>
          <w:rFonts w:hint="eastAsia"/>
          <w:color w:val="auto"/>
          <w:sz w:val="24"/>
          <w:szCs w:val="24"/>
          <w:highlight w:val="none"/>
        </w:rPr>
        <w:t>源端维护发布流程检验</w:t>
      </w:r>
      <w:bookmarkEnd w:id="17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源端维护发布流程检验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Src02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智能远动网关技术规范7.3</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第6篇：智能远动机功能规范4.6.2</w:t>
            </w:r>
          </w:p>
          <w:p>
            <w:pPr>
              <w:rPr>
                <w:rFonts w:ascii="宋体" w:hAnsi="宋体"/>
                <w:color w:val="auto"/>
                <w:highlight w:val="none"/>
              </w:rPr>
            </w:pPr>
            <w:r>
              <w:rPr>
                <w:rFonts w:ascii="宋体" w:hAnsi="宋体"/>
                <w:color w:val="auto"/>
                <w:highlight w:val="none"/>
              </w:rPr>
              <w:t>Q/CSG XXX-XXXX</w:t>
            </w:r>
            <w:r>
              <w:rPr>
                <w:rFonts w:hint="eastAsia" w:ascii="宋体" w:hAnsi="宋体"/>
                <w:color w:val="auto"/>
                <w:highlight w:val="none"/>
              </w:rPr>
              <w:t>南方电网智能远动机源端维护与订阅发布技术规范8.</w:t>
            </w:r>
            <w:r>
              <w:rPr>
                <w:rFonts w:ascii="宋体" w:hAnsi="宋体"/>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hAnsi="宋体"/>
                <w:color w:val="auto"/>
                <w:szCs w:val="21"/>
                <w:highlight w:val="none"/>
              </w:rPr>
            </w:pPr>
            <w:r>
              <w:rPr>
                <w:rFonts w:hint="eastAsia" w:hAnsi="宋体"/>
                <w:color w:val="auto"/>
                <w:szCs w:val="21"/>
                <w:highlight w:val="none"/>
              </w:rPr>
              <w:t>智能远动机接收到下发的SCD、CIM、SVG文件后，自动生成各通道V</w:t>
            </w:r>
            <w:r>
              <w:rPr>
                <w:rFonts w:hAnsi="宋体"/>
                <w:color w:val="auto"/>
                <w:szCs w:val="21"/>
                <w:highlight w:val="none"/>
              </w:rPr>
              <w:t>ER文件，</w:t>
            </w:r>
            <w:r>
              <w:rPr>
                <w:rFonts w:hint="eastAsia" w:hAnsi="宋体"/>
                <w:color w:val="auto"/>
                <w:szCs w:val="21"/>
                <w:highlight w:val="none"/>
              </w:rPr>
              <w:t>校验码计算应符合</w:t>
            </w:r>
            <w:r>
              <w:rPr>
                <w:rFonts w:ascii="宋体" w:hAnsi="宋体"/>
                <w:color w:val="auto"/>
                <w:highlight w:val="none"/>
              </w:rPr>
              <w:t>Q/CSG XXX-XXXX</w:t>
            </w:r>
            <w:r>
              <w:rPr>
                <w:rFonts w:hint="eastAsia" w:ascii="宋体" w:hAnsi="宋体"/>
                <w:color w:val="auto"/>
                <w:highlight w:val="none"/>
              </w:rPr>
              <w:t>南方电网智能远动机源端维护与订阅发布技术规范附录B的要求</w:t>
            </w:r>
            <w:r>
              <w:rPr>
                <w:rFonts w:hAnsi="宋体"/>
                <w:color w:val="auto"/>
                <w:szCs w:val="21"/>
                <w:highlight w:val="none"/>
              </w:rPr>
              <w:t>。</w:t>
            </w:r>
          </w:p>
          <w:p>
            <w:pPr>
              <w:autoSpaceDE w:val="0"/>
              <w:autoSpaceDN w:val="0"/>
              <w:jc w:val="left"/>
              <w:rPr>
                <w:rFonts w:ascii="宋体" w:hAnsi="宋体"/>
                <w:color w:val="auto"/>
                <w:kern w:val="0"/>
                <w:highlight w:val="none"/>
              </w:rPr>
            </w:pPr>
            <w:r>
              <w:rPr>
                <w:rFonts w:ascii="宋体" w:hAnsi="宋体"/>
                <w:color w:val="auto"/>
                <w:highlight w:val="none"/>
              </w:rPr>
              <w:t>主站召唤</w:t>
            </w:r>
            <w:r>
              <w:rPr>
                <w:rFonts w:hint="eastAsia" w:hAnsi="宋体"/>
                <w:color w:val="auto"/>
                <w:szCs w:val="21"/>
                <w:highlight w:val="none"/>
              </w:rPr>
              <w:t>VER、CIM、SVG文件时，远动机应能正确上送相应文件。通信协议按照</w:t>
            </w:r>
            <w:r>
              <w:rPr>
                <w:rFonts w:ascii="宋体" w:hAnsi="宋体"/>
                <w:color w:val="auto"/>
                <w:highlight w:val="none"/>
              </w:rPr>
              <w:t>Q/CSG XXX-XXXX</w:t>
            </w:r>
            <w:r>
              <w:rPr>
                <w:rFonts w:hint="eastAsia" w:ascii="宋体" w:hAnsi="宋体"/>
                <w:color w:val="auto"/>
                <w:highlight w:val="none"/>
              </w:rPr>
              <w:t>南方电网智能远动机源端维护与订阅发布技术规范附录C定义实现。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从主站下发</w:t>
            </w:r>
            <w:r>
              <w:rPr>
                <w:rFonts w:hint="eastAsia" w:hAnsi="宋体"/>
                <w:color w:val="auto"/>
                <w:szCs w:val="21"/>
                <w:highlight w:val="none"/>
              </w:rPr>
              <w:t>VER、CIM、SVG文件召唤命令，检查远动机是否正确上送相应文件。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80" w:name="_Toc528273554"/>
      <w:r>
        <w:rPr>
          <w:rFonts w:hint="eastAsia"/>
          <w:color w:val="auto"/>
          <w:sz w:val="24"/>
          <w:szCs w:val="24"/>
          <w:highlight w:val="none"/>
        </w:rPr>
        <w:t>源端维护订阅流程检验</w:t>
      </w:r>
      <w:bookmarkEnd w:id="18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源端维护订阅流程检验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Src03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智能远动网关技术规范7.3</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第6篇：智能远动机功能规范4.6.2</w:t>
            </w:r>
          </w:p>
          <w:p>
            <w:pPr>
              <w:rPr>
                <w:rFonts w:ascii="宋体" w:hAnsi="宋体"/>
                <w:color w:val="auto"/>
                <w:highlight w:val="none"/>
              </w:rPr>
            </w:pPr>
            <w:r>
              <w:rPr>
                <w:rFonts w:ascii="宋体" w:hAnsi="宋体"/>
                <w:color w:val="auto"/>
                <w:highlight w:val="none"/>
              </w:rPr>
              <w:t>Q/CSG XXX-XXXX</w:t>
            </w:r>
            <w:r>
              <w:rPr>
                <w:rFonts w:hint="eastAsia" w:ascii="宋体" w:hAnsi="宋体"/>
                <w:color w:val="auto"/>
                <w:highlight w:val="none"/>
              </w:rPr>
              <w:t>南方电网智能远动机源端维护与订阅发布技术规范8.</w:t>
            </w:r>
            <w:r>
              <w:rPr>
                <w:rFonts w:ascii="宋体" w:hAnsi="宋体"/>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hAnsi="宋体"/>
                <w:color w:val="auto"/>
                <w:szCs w:val="21"/>
                <w:highlight w:val="none"/>
              </w:rPr>
            </w:pPr>
            <w:r>
              <w:rPr>
                <w:rFonts w:hint="eastAsia" w:hAnsi="宋体"/>
                <w:color w:val="auto"/>
                <w:szCs w:val="21"/>
                <w:highlight w:val="none"/>
              </w:rPr>
              <w:t>主站端下发MAP文件时，远动机应能正常响应并更新VER文件，校验码计算应符合</w:t>
            </w:r>
            <w:r>
              <w:rPr>
                <w:rFonts w:ascii="宋体" w:hAnsi="宋体"/>
                <w:color w:val="auto"/>
                <w:highlight w:val="none"/>
              </w:rPr>
              <w:t>Q/CSG XXX-XXXX</w:t>
            </w:r>
            <w:r>
              <w:rPr>
                <w:rFonts w:hint="eastAsia" w:ascii="宋体" w:hAnsi="宋体"/>
                <w:color w:val="auto"/>
                <w:highlight w:val="none"/>
              </w:rPr>
              <w:t>南方电网智能远动机源端维护与订阅发布技术规范附录B的要求</w:t>
            </w:r>
            <w:r>
              <w:rPr>
                <w:rFonts w:hint="eastAsia" w:hAnsi="宋体"/>
                <w:color w:val="auto"/>
                <w:szCs w:val="21"/>
                <w:highlight w:val="none"/>
              </w:rPr>
              <w:t>。</w:t>
            </w:r>
          </w:p>
          <w:p>
            <w:pPr>
              <w:autoSpaceDE w:val="0"/>
              <w:autoSpaceDN w:val="0"/>
              <w:jc w:val="left"/>
              <w:rPr>
                <w:rFonts w:ascii="宋体" w:hAnsi="宋体"/>
                <w:color w:val="auto"/>
                <w:kern w:val="0"/>
                <w:highlight w:val="none"/>
              </w:rPr>
            </w:pPr>
            <w:r>
              <w:rPr>
                <w:rFonts w:hint="eastAsia" w:ascii="宋体" w:hAnsi="宋体"/>
                <w:color w:val="auto"/>
                <w:kern w:val="0"/>
                <w:highlight w:val="none"/>
              </w:rPr>
              <w:t>主站下发“激活四遥数据传输”报文，启动正常通信流程，远动机应能正确上送四遥数据。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主站正确下发map文件，检查子站远动机是否正确更新map、ver文件；主站下发激活四遥报文，检查子站远动是否正确传输四遥信息。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81" w:name="_Toc528273555"/>
      <w:r>
        <w:rPr>
          <w:rFonts w:hint="eastAsia"/>
          <w:color w:val="auto"/>
          <w:sz w:val="24"/>
          <w:szCs w:val="24"/>
          <w:highlight w:val="none"/>
        </w:rPr>
        <w:t>多通道同步功能检验</w:t>
      </w:r>
      <w:bookmarkEnd w:id="18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color w:val="auto"/>
                <w:highlight w:val="none"/>
              </w:rPr>
              <w:t>多通道同步功能检验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Src04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Q/CSG XXX-XXXX</w:t>
            </w:r>
            <w:r>
              <w:rPr>
                <w:rFonts w:hint="eastAsia"/>
                <w:color w:val="auto"/>
                <w:highlight w:val="none"/>
              </w:rPr>
              <w:t>南方电网智能远动机源端维护与订阅发布技术规范7.2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同一个调度有多个通道且转发表相同的情况下，在指定其中一个通道上进行模型、图形文件更新及</w:t>
            </w:r>
            <w:r>
              <w:rPr>
                <w:rFonts w:ascii="宋体" w:hAnsi="宋体"/>
                <w:color w:val="auto"/>
                <w:kern w:val="0"/>
                <w:highlight w:val="none"/>
              </w:rPr>
              <w:t>MAP文件下载，该通道在接收</w:t>
            </w:r>
            <w:r>
              <w:rPr>
                <w:rFonts w:hint="eastAsia" w:ascii="宋体" w:hAnsi="宋体"/>
                <w:color w:val="auto"/>
                <w:kern w:val="0"/>
                <w:highlight w:val="none"/>
              </w:rPr>
              <w:t>到</w:t>
            </w:r>
            <w:r>
              <w:rPr>
                <w:rFonts w:ascii="宋体" w:hAnsi="宋体"/>
                <w:color w:val="auto"/>
                <w:kern w:val="0"/>
                <w:highlight w:val="none"/>
              </w:rPr>
              <w:t>MAP文件后自动同步到其他通道，每一个通道分别加载MAP文件并初始化，然后复位自身链路。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49"/>
              </w:numPr>
              <w:autoSpaceDE w:val="0"/>
              <w:autoSpaceDN w:val="0"/>
              <w:jc w:val="left"/>
              <w:rPr>
                <w:rFonts w:ascii="宋体" w:hAnsi="宋体"/>
                <w:color w:val="auto"/>
                <w:kern w:val="0"/>
                <w:highlight w:val="none"/>
              </w:rPr>
            </w:pPr>
            <w:r>
              <w:rPr>
                <w:rFonts w:hint="eastAsia" w:ascii="宋体" w:hAnsi="宋体"/>
                <w:color w:val="auto"/>
                <w:kern w:val="0"/>
                <w:highlight w:val="none"/>
              </w:rPr>
              <w:t>配置远动机对同一调度启用多个通道通信；</w:t>
            </w:r>
          </w:p>
          <w:p>
            <w:pPr>
              <w:numPr>
                <w:ilvl w:val="0"/>
                <w:numId w:val="49"/>
              </w:numPr>
              <w:autoSpaceDE w:val="0"/>
              <w:autoSpaceDN w:val="0"/>
              <w:jc w:val="left"/>
              <w:rPr>
                <w:rFonts w:ascii="宋体" w:hAnsi="宋体"/>
                <w:color w:val="auto"/>
                <w:kern w:val="0"/>
                <w:highlight w:val="none"/>
              </w:rPr>
            </w:pPr>
            <w:r>
              <w:rPr>
                <w:rFonts w:hint="eastAsia" w:ascii="宋体" w:hAnsi="宋体"/>
                <w:color w:val="auto"/>
                <w:kern w:val="0"/>
                <w:highlight w:val="none"/>
              </w:rPr>
              <w:t>在其中一个通道上进行模型、图形文件更新及MAP文件下载；</w:t>
            </w:r>
          </w:p>
          <w:p>
            <w:pPr>
              <w:numPr>
                <w:ilvl w:val="0"/>
                <w:numId w:val="49"/>
              </w:numPr>
              <w:autoSpaceDE w:val="0"/>
              <w:autoSpaceDN w:val="0"/>
              <w:jc w:val="left"/>
              <w:rPr>
                <w:rFonts w:ascii="宋体" w:hAnsi="宋体"/>
                <w:color w:val="auto"/>
                <w:kern w:val="0"/>
                <w:highlight w:val="none"/>
              </w:rPr>
            </w:pPr>
            <w:r>
              <w:rPr>
                <w:rFonts w:ascii="宋体" w:hAnsi="宋体"/>
                <w:color w:val="auto"/>
                <w:kern w:val="0"/>
                <w:highlight w:val="none"/>
              </w:rPr>
              <w:t>检查</w:t>
            </w:r>
            <w:r>
              <w:rPr>
                <w:rFonts w:hint="eastAsia" w:ascii="宋体" w:hAnsi="宋体"/>
                <w:color w:val="auto"/>
                <w:kern w:val="0"/>
                <w:highlight w:val="none"/>
              </w:rPr>
              <w:t>该通道在接收到MAP文件后自动同步是否到其他通道，每一个通道分别加载MAP文件并初始化，然后复位自身链路。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82" w:name="_Toc528273556"/>
      <w:r>
        <w:rPr>
          <w:rFonts w:hint="eastAsia"/>
          <w:color w:val="auto"/>
          <w:sz w:val="24"/>
          <w:szCs w:val="24"/>
          <w:highlight w:val="none"/>
        </w:rPr>
        <w:t>过程显示与日志功能检验</w:t>
      </w:r>
      <w:bookmarkEnd w:id="18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color w:val="auto"/>
                <w:highlight w:val="none"/>
              </w:rPr>
              <w:t>过程显示与日志功能检验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Src04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Q/CSG XXX-XXXX</w:t>
            </w:r>
            <w:r>
              <w:rPr>
                <w:rFonts w:hint="eastAsia"/>
                <w:color w:val="auto"/>
                <w:highlight w:val="none"/>
              </w:rPr>
              <w:t>南方电网智能远动机源端维护与订阅发布技术规范7.2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子站应具备源端维护全过程的步骤信息与告警信息展示及日志记录功能，显示内容参考</w:t>
            </w:r>
            <w:r>
              <w:rPr>
                <w:rFonts w:ascii="宋体" w:hAnsi="宋体"/>
                <w:color w:val="auto"/>
                <w:highlight w:val="none"/>
              </w:rPr>
              <w:t>Q/CSG XXX-XXXX</w:t>
            </w:r>
            <w:r>
              <w:rPr>
                <w:rFonts w:hint="eastAsia"/>
                <w:color w:val="auto"/>
                <w:highlight w:val="none"/>
              </w:rPr>
              <w:t>南方电网智能远动机源端维护与订阅发布技术规范附录D实现</w:t>
            </w:r>
            <w:r>
              <w:rPr>
                <w:rFonts w:hint="eastAsia" w:ascii="宋体" w:hAnsi="宋体"/>
                <w:color w:val="auto"/>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通过主站进行源端维护操作，检查远动机是否能够显示源端维护过程信息；模拟文件校验或传输失败，检查是否有相应告警信息；检查源端维护的过程及告警信息是否以日志形式进行记录。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pStyle w:val="5"/>
        <w:rPr>
          <w:color w:val="auto"/>
          <w:sz w:val="24"/>
          <w:szCs w:val="24"/>
          <w:highlight w:val="none"/>
        </w:rPr>
      </w:pPr>
      <w:bookmarkStart w:id="183" w:name="_Toc528273557"/>
      <w:r>
        <w:rPr>
          <w:rFonts w:hint="eastAsia"/>
          <w:color w:val="auto"/>
          <w:sz w:val="24"/>
          <w:szCs w:val="24"/>
          <w:highlight w:val="none"/>
        </w:rPr>
        <w:t>文件校验响应时间检验</w:t>
      </w:r>
      <w:bookmarkEnd w:id="18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color w:val="auto"/>
                <w:highlight w:val="none"/>
              </w:rPr>
              <w:t>文件校验响应时间检验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Src06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color w:val="auto"/>
                <w:highlight w:val="none"/>
              </w:rPr>
              <w:t>南方电网智能远动机源端维护与订阅发布技术规范10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站端智能远动机接收到主站下发的MAP文件后，对其校验和加载过程不应超过60s。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分别通过主站下发正确的和错误的MAP文件，检查远动机校验和加载的时间是否满足要求。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184" w:name="_Toc49258174"/>
      <w:bookmarkStart w:id="185" w:name="_Toc528273558"/>
      <w:r>
        <w:rPr>
          <w:rFonts w:hint="eastAsia"/>
          <w:color w:val="auto"/>
          <w:sz w:val="24"/>
          <w:szCs w:val="24"/>
          <w:highlight w:val="none"/>
        </w:rPr>
        <w:t>顺序控制功能检验</w:t>
      </w:r>
      <w:bookmarkEnd w:id="184"/>
      <w:bookmarkEnd w:id="185"/>
    </w:p>
    <w:p>
      <w:pPr>
        <w:pStyle w:val="5"/>
        <w:rPr>
          <w:color w:val="auto"/>
          <w:sz w:val="24"/>
          <w:szCs w:val="24"/>
          <w:highlight w:val="none"/>
        </w:rPr>
      </w:pPr>
      <w:bookmarkStart w:id="186" w:name="_Toc528273559"/>
      <w:r>
        <w:rPr>
          <w:rFonts w:hint="eastAsia"/>
          <w:color w:val="auto"/>
          <w:sz w:val="24"/>
          <w:szCs w:val="24"/>
          <w:highlight w:val="none"/>
        </w:rPr>
        <w:t>控制范围检验</w:t>
      </w:r>
      <w:bookmarkEnd w:id="18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控制范围检验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Ctl01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color w:val="auto"/>
                <w:highlight w:val="none"/>
              </w:rPr>
              <w:t>控制的范围包括一次设备（主变、母线、断路器、隔离开关、接地刀闸等）运行方式转换和保护装置定值区切换、软压板投退等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编辑生成包含一次设备运行变化的顺控操作票，其中包括保护装置定值区切换和软压板投退命令，检查该</w:t>
            </w:r>
            <w:r>
              <w:rPr>
                <w:rFonts w:hint="eastAsia" w:ascii="宋体" w:hAnsi="宋体"/>
                <w:color w:val="auto"/>
                <w:highlight w:val="none"/>
              </w:rPr>
              <w:t>操作票能否正确执行。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87" w:name="_Toc528273560"/>
      <w:r>
        <w:rPr>
          <w:rFonts w:hint="eastAsia"/>
          <w:color w:val="auto"/>
          <w:sz w:val="24"/>
          <w:szCs w:val="24"/>
          <w:highlight w:val="none"/>
        </w:rPr>
        <w:t>操作结果检查功能检验</w:t>
      </w:r>
      <w:bookmarkEnd w:id="187"/>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操作结果检查功能检验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Ctl02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color w:val="auto"/>
                <w:highlight w:val="none"/>
              </w:rPr>
              <w:t>宜通过辅助接点状态、量测值变化等信息自动完成每步操作的检查工作，包括设备操作过程、最终状态等。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编辑生成一套顺控操作票，其中步骤包含判断</w:t>
            </w:r>
            <w:r>
              <w:rPr>
                <w:rFonts w:hint="eastAsia"/>
                <w:color w:val="auto"/>
                <w:highlight w:val="none"/>
              </w:rPr>
              <w:t>辅助接点状态、量测值变化</w:t>
            </w:r>
            <w:r>
              <w:rPr>
                <w:rFonts w:ascii="宋体" w:hAnsi="宋体"/>
                <w:color w:val="auto"/>
                <w:highlight w:val="none"/>
              </w:rPr>
              <w:t>的执行条件，在操作票执行过程</w:t>
            </w:r>
            <w:r>
              <w:rPr>
                <w:rFonts w:hint="eastAsia" w:ascii="宋体" w:hAnsi="宋体"/>
                <w:color w:val="auto"/>
                <w:highlight w:val="none"/>
              </w:rPr>
              <w:t>中</w:t>
            </w:r>
            <w:r>
              <w:rPr>
                <w:rFonts w:ascii="宋体" w:hAnsi="宋体"/>
                <w:color w:val="auto"/>
                <w:highlight w:val="none"/>
              </w:rPr>
              <w:t>分别模拟条件满足和不满足两种情况，检查该</w:t>
            </w:r>
            <w:r>
              <w:rPr>
                <w:rFonts w:hint="eastAsia" w:ascii="宋体" w:hAnsi="宋体"/>
                <w:color w:val="auto"/>
                <w:highlight w:val="none"/>
              </w:rPr>
              <w:t>操作票的执行结果。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88" w:name="_Toc528273561"/>
      <w:r>
        <w:rPr>
          <w:rFonts w:hint="eastAsia"/>
          <w:color w:val="auto"/>
          <w:sz w:val="24"/>
          <w:szCs w:val="24"/>
          <w:highlight w:val="none"/>
        </w:rPr>
        <w:t>防误逻辑检验</w:t>
      </w:r>
      <w:bookmarkEnd w:id="18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防误逻辑检验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Ctl03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操作过程中应检查防误逻辑，操作应通过防误校验。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编辑生成一套顺控操作票，其中包含防误逻辑判断，在操作票执行过程</w:t>
            </w:r>
            <w:r>
              <w:rPr>
                <w:rFonts w:hint="eastAsia" w:ascii="宋体" w:hAnsi="宋体"/>
                <w:color w:val="auto"/>
                <w:highlight w:val="none"/>
              </w:rPr>
              <w:t>中</w:t>
            </w:r>
            <w:r>
              <w:rPr>
                <w:rFonts w:ascii="宋体" w:hAnsi="宋体"/>
                <w:color w:val="auto"/>
                <w:highlight w:val="none"/>
              </w:rPr>
              <w:t>分别模拟防误条件满足和不满足两种情况，检查该</w:t>
            </w:r>
            <w:r>
              <w:rPr>
                <w:rFonts w:hint="eastAsia" w:ascii="宋体" w:hAnsi="宋体"/>
                <w:color w:val="auto"/>
                <w:highlight w:val="none"/>
              </w:rPr>
              <w:t>操作票的执行结果。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89" w:name="_Toc528273562"/>
      <w:r>
        <w:rPr>
          <w:rFonts w:hint="eastAsia"/>
          <w:color w:val="auto"/>
          <w:sz w:val="24"/>
          <w:szCs w:val="24"/>
          <w:highlight w:val="none"/>
        </w:rPr>
        <w:t>操作票功能检验</w:t>
      </w:r>
      <w:bookmarkEnd w:id="18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操作票功能检验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Ctl04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应支持操作票的编辑、修改。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编辑生成一套顺控操作票，检查该</w:t>
            </w:r>
            <w:r>
              <w:rPr>
                <w:rFonts w:hint="eastAsia" w:ascii="宋体" w:hAnsi="宋体"/>
                <w:color w:val="auto"/>
                <w:highlight w:val="none"/>
              </w:rPr>
              <w:t>操作票是否正确执行；修改该操作票，检查</w:t>
            </w:r>
            <w:r>
              <w:rPr>
                <w:rFonts w:ascii="宋体" w:hAnsi="宋体"/>
                <w:color w:val="auto"/>
                <w:highlight w:val="none"/>
              </w:rPr>
              <w:t>该</w:t>
            </w:r>
            <w:r>
              <w:rPr>
                <w:rFonts w:hint="eastAsia" w:ascii="宋体" w:hAnsi="宋体"/>
                <w:color w:val="auto"/>
                <w:highlight w:val="none"/>
              </w:rPr>
              <w:t>操作票是否按修改后的内容正确执行。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90" w:name="_Toc528273563"/>
      <w:r>
        <w:rPr>
          <w:rFonts w:hint="eastAsia"/>
          <w:color w:val="auto"/>
          <w:sz w:val="24"/>
          <w:szCs w:val="24"/>
          <w:highlight w:val="none"/>
        </w:rPr>
        <w:t>顺控预演功能检验</w:t>
      </w:r>
      <w:bookmarkEnd w:id="19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顺控预演功能检验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Ctl05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应支持仿真、预演功能。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编辑生成一套顺控操作票并进行预演，检查该</w:t>
            </w:r>
            <w:r>
              <w:rPr>
                <w:rFonts w:hint="eastAsia" w:ascii="宋体" w:hAnsi="宋体"/>
                <w:color w:val="auto"/>
                <w:highlight w:val="none"/>
              </w:rPr>
              <w:t>操作票预演是否正常，预演结果是否正确。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91" w:name="_Toc528273564"/>
      <w:r>
        <w:rPr>
          <w:rFonts w:hint="eastAsia"/>
          <w:color w:val="auto"/>
          <w:sz w:val="24"/>
          <w:szCs w:val="24"/>
          <w:highlight w:val="none"/>
        </w:rPr>
        <w:t>操作控制功能检验</w:t>
      </w:r>
      <w:bookmarkEnd w:id="19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操作控制功能检验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Ctl06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支持顺序控制的暂停、启动、急停功能。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编辑生成一套顺控操作票并启动该</w:t>
            </w:r>
            <w:r>
              <w:rPr>
                <w:rFonts w:hint="eastAsia" w:ascii="宋体" w:hAnsi="宋体"/>
                <w:color w:val="auto"/>
                <w:highlight w:val="none"/>
              </w:rPr>
              <w:t>操作票执行，在执行过程中进行暂停、急停操作，</w:t>
            </w:r>
            <w:r>
              <w:rPr>
                <w:rFonts w:ascii="宋体" w:hAnsi="宋体"/>
                <w:color w:val="auto"/>
                <w:highlight w:val="none"/>
              </w:rPr>
              <w:t>检查命令是否正确响应</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192" w:name="_Toc528273565"/>
      <w:bookmarkStart w:id="193" w:name="_Toc49258175"/>
      <w:r>
        <w:rPr>
          <w:rFonts w:hint="eastAsia"/>
          <w:color w:val="auto"/>
          <w:sz w:val="24"/>
          <w:szCs w:val="24"/>
          <w:highlight w:val="none"/>
        </w:rPr>
        <w:t>电压无功控制功能检验</w:t>
      </w:r>
      <w:bookmarkEnd w:id="192"/>
      <w:bookmarkEnd w:id="193"/>
    </w:p>
    <w:p>
      <w:pPr>
        <w:pStyle w:val="5"/>
        <w:rPr>
          <w:color w:val="auto"/>
          <w:sz w:val="24"/>
          <w:szCs w:val="24"/>
          <w:highlight w:val="none"/>
        </w:rPr>
      </w:pPr>
      <w:bookmarkStart w:id="194" w:name="_Toc528273566"/>
      <w:r>
        <w:rPr>
          <w:rFonts w:hint="eastAsia"/>
          <w:color w:val="auto"/>
          <w:sz w:val="24"/>
          <w:szCs w:val="24"/>
          <w:highlight w:val="none"/>
        </w:rPr>
        <w:t>运行方式检验</w:t>
      </w:r>
      <w:bookmarkEnd w:id="19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运行方式检验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Vqc01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能够自动识别并且适应不同运行方式，根据预定的优化策略实现无功自动调节。支持开环、闭环、半闭环运行模式。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针对不同的运行方式配置多种不同的</w:t>
            </w:r>
            <w:r>
              <w:rPr>
                <w:rFonts w:ascii="宋体" w:hAnsi="宋体"/>
                <w:color w:val="auto"/>
                <w:kern w:val="0"/>
                <w:highlight w:val="none"/>
              </w:rPr>
              <w:t>优化策略，验证远动机是否能够根据运行方式选择预定的优化策略进行无功自动调节，验证远动机是否支持开环、闭环、半闭环运行模式。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95" w:name="_Toc528273567"/>
      <w:r>
        <w:rPr>
          <w:rFonts w:hint="eastAsia"/>
          <w:color w:val="auto"/>
          <w:sz w:val="24"/>
          <w:szCs w:val="24"/>
          <w:highlight w:val="none"/>
        </w:rPr>
        <w:t>闭锁功能检验</w:t>
      </w:r>
      <w:bookmarkEnd w:id="19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闭锁功能检验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Vqc02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变压器、电容器和母线故障时应自动闭锁全部或部分功能</w:t>
            </w:r>
            <w:r>
              <w:rPr>
                <w:rFonts w:hint="eastAsia" w:ascii="宋体" w:hAnsi="宋体"/>
                <w:color w:val="auto"/>
                <w:kern w:val="0"/>
                <w:highlight w:val="none"/>
              </w:rPr>
              <w:t>，支持人工恢复和自动恢复。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分别模拟</w:t>
            </w:r>
            <w:r>
              <w:rPr>
                <w:rFonts w:ascii="宋体" w:hAnsi="宋体"/>
                <w:color w:val="auto"/>
                <w:kern w:val="0"/>
                <w:highlight w:val="none"/>
              </w:rPr>
              <w:t>变压器、电容器和母线故障、自动恢复和人工恢复，检查远动机是否正确闭锁和恢复。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96" w:name="_Toc528273568"/>
      <w:r>
        <w:rPr>
          <w:rFonts w:hint="eastAsia"/>
          <w:color w:val="auto"/>
          <w:sz w:val="24"/>
          <w:szCs w:val="24"/>
          <w:highlight w:val="none"/>
        </w:rPr>
        <w:t>实时监测功能检验</w:t>
      </w:r>
      <w:bookmarkEnd w:id="19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实时监测功能检验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Vqc03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应实时监测相关数据和状态，如网络拓扑状态、分接头位置、无功、电压信息等。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检查VQC画面的有功、无功、电压、电流、功率因数、档位、断路器位置、隔离开关位置、定值等信息是否与实际一致正确，控制命令是否正确下发到对应装置。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97" w:name="_Toc528273569"/>
      <w:r>
        <w:rPr>
          <w:rFonts w:hint="eastAsia"/>
          <w:color w:val="auto"/>
          <w:sz w:val="24"/>
          <w:szCs w:val="24"/>
          <w:highlight w:val="none"/>
        </w:rPr>
        <w:t>参数设置功能检验</w:t>
      </w:r>
      <w:bookmarkEnd w:id="197"/>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参数设置功能检验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Vqc04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color w:val="auto"/>
                <w:highlight w:val="none"/>
              </w:rPr>
              <w:t>应能进行控制模式、计算周期、数据刷新周期、控制约束、闭锁信号等的设置，可在站内或远方进行功能及目标值设定，每个控制对象应设定投退软压板并可在远方或当地投入和退出。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50"/>
              </w:numPr>
              <w:autoSpaceDE w:val="0"/>
              <w:autoSpaceDN w:val="0"/>
              <w:jc w:val="left"/>
              <w:rPr>
                <w:color w:val="auto"/>
                <w:highlight w:val="none"/>
              </w:rPr>
            </w:pPr>
            <w:r>
              <w:rPr>
                <w:rFonts w:hint="eastAsia"/>
                <w:color w:val="auto"/>
                <w:highlight w:val="none"/>
              </w:rPr>
              <w:t>分别进行控制模式、计算周期、数据刷新周期、控制约束、闭锁信号等的设置，检查设置是否生效。</w:t>
            </w:r>
          </w:p>
          <w:p>
            <w:pPr>
              <w:numPr>
                <w:ilvl w:val="0"/>
                <w:numId w:val="50"/>
              </w:numPr>
              <w:autoSpaceDE w:val="0"/>
              <w:autoSpaceDN w:val="0"/>
              <w:jc w:val="left"/>
              <w:rPr>
                <w:color w:val="auto"/>
                <w:highlight w:val="none"/>
              </w:rPr>
            </w:pPr>
            <w:r>
              <w:rPr>
                <w:rFonts w:hint="eastAsia"/>
                <w:color w:val="auto"/>
                <w:highlight w:val="none"/>
              </w:rPr>
              <w:t>分别在站内和远方进行功能及目标值设定，检查设定是否生效。</w:t>
            </w:r>
          </w:p>
          <w:p>
            <w:pPr>
              <w:numPr>
                <w:ilvl w:val="0"/>
                <w:numId w:val="50"/>
              </w:numPr>
              <w:autoSpaceDE w:val="0"/>
              <w:autoSpaceDN w:val="0"/>
              <w:jc w:val="left"/>
              <w:rPr>
                <w:rFonts w:ascii="宋体" w:hAnsi="宋体"/>
                <w:color w:val="auto"/>
                <w:highlight w:val="none"/>
              </w:rPr>
            </w:pPr>
            <w:r>
              <w:rPr>
                <w:color w:val="auto"/>
                <w:highlight w:val="none"/>
              </w:rPr>
              <w:t>检查</w:t>
            </w:r>
            <w:r>
              <w:rPr>
                <w:rFonts w:hint="eastAsia"/>
                <w:color w:val="auto"/>
                <w:highlight w:val="none"/>
              </w:rPr>
              <w:t>每个控制对象是否设定投退软压板并可在远方或当地投入和退出。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98" w:name="_Toc528273570"/>
      <w:r>
        <w:rPr>
          <w:rFonts w:hint="eastAsia"/>
          <w:color w:val="auto"/>
          <w:sz w:val="24"/>
          <w:szCs w:val="24"/>
          <w:highlight w:val="none"/>
        </w:rPr>
        <w:t>并列识别功能检验</w:t>
      </w:r>
      <w:bookmarkEnd w:id="19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并列识别功能检验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Vqc05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应能自动判断低压侧和中压侧主变的并列情况，在主变并列时，各分接头能同升同降。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分别模拟</w:t>
            </w:r>
            <w:r>
              <w:rPr>
                <w:rFonts w:ascii="宋体" w:hAnsi="宋体"/>
                <w:color w:val="auto"/>
                <w:kern w:val="0"/>
                <w:highlight w:val="none"/>
              </w:rPr>
              <w:t>低压侧和中压侧主变的并列和未并列两种情况</w:t>
            </w:r>
            <w:r>
              <w:rPr>
                <w:rFonts w:hint="eastAsia" w:ascii="宋体" w:hAnsi="宋体"/>
                <w:color w:val="auto"/>
                <w:kern w:val="0"/>
                <w:highlight w:val="none"/>
              </w:rPr>
              <w:t>，观察</w:t>
            </w:r>
            <w:r>
              <w:rPr>
                <w:rFonts w:ascii="宋体" w:hAnsi="宋体"/>
                <w:color w:val="auto"/>
                <w:kern w:val="0"/>
                <w:highlight w:val="none"/>
              </w:rPr>
              <w:t>各分接头是否能同升同降。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199" w:name="_Toc528273571"/>
      <w:r>
        <w:rPr>
          <w:rFonts w:hint="eastAsia"/>
          <w:color w:val="auto"/>
          <w:sz w:val="24"/>
          <w:szCs w:val="24"/>
          <w:highlight w:val="none"/>
        </w:rPr>
        <w:t>调节操作记录功能检验</w:t>
      </w:r>
      <w:bookmarkEnd w:id="19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调节操作记录功能检验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Vqc06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应有调节操作记录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配置策略启动调节操作，检查调节操作记录是否正确。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00" w:name="_Toc528273572"/>
      <w:r>
        <w:rPr>
          <w:rFonts w:hint="eastAsia"/>
          <w:color w:val="auto"/>
          <w:sz w:val="24"/>
          <w:szCs w:val="24"/>
          <w:highlight w:val="none"/>
        </w:rPr>
        <w:t>控制记录功能检验</w:t>
      </w:r>
      <w:bookmarkEnd w:id="20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控制记录功能检验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Vqc07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应能记录控制功能被启动、被停止</w:t>
            </w:r>
            <w:r>
              <w:rPr>
                <w:rFonts w:hint="eastAsia" w:ascii="宋体" w:hAnsi="宋体"/>
                <w:color w:val="auto"/>
                <w:kern w:val="0"/>
                <w:highlight w:val="none"/>
              </w:rPr>
              <w:t>、控制参数变更的情况。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分别模拟</w:t>
            </w:r>
            <w:r>
              <w:rPr>
                <w:rFonts w:ascii="宋体" w:hAnsi="宋体"/>
                <w:color w:val="auto"/>
                <w:kern w:val="0"/>
                <w:highlight w:val="none"/>
              </w:rPr>
              <w:t>控制功能启动、停止</w:t>
            </w:r>
            <w:r>
              <w:rPr>
                <w:rFonts w:hint="eastAsia" w:ascii="宋体" w:hAnsi="宋体"/>
                <w:color w:val="auto"/>
                <w:kern w:val="0"/>
                <w:highlight w:val="none"/>
              </w:rPr>
              <w:t>、控制参数变更，检查相应记录情况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01" w:name="_Toc528273573"/>
      <w:bookmarkStart w:id="202" w:name="_Toc49258176"/>
      <w:r>
        <w:rPr>
          <w:rFonts w:hint="eastAsia"/>
          <w:color w:val="auto"/>
          <w:sz w:val="24"/>
          <w:szCs w:val="24"/>
          <w:highlight w:val="none"/>
        </w:rPr>
        <w:t>监控终端功能检验</w:t>
      </w:r>
      <w:bookmarkEnd w:id="201"/>
      <w:bookmarkEnd w:id="202"/>
    </w:p>
    <w:p>
      <w:pPr>
        <w:pStyle w:val="5"/>
        <w:rPr>
          <w:color w:val="auto"/>
          <w:sz w:val="24"/>
          <w:szCs w:val="24"/>
          <w:highlight w:val="none"/>
        </w:rPr>
      </w:pPr>
      <w:bookmarkStart w:id="203" w:name="_Toc528273574"/>
      <w:r>
        <w:rPr>
          <w:rFonts w:hint="eastAsia"/>
          <w:color w:val="auto"/>
          <w:sz w:val="24"/>
          <w:szCs w:val="24"/>
          <w:highlight w:val="none"/>
        </w:rPr>
        <w:t>画面展示功能检验</w:t>
      </w:r>
      <w:bookmarkEnd w:id="20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画面展示功能检验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支持画面展示功能，能够通过主接线图、画面分图等展示站内一次设备实时状态，还能够展示遥信点、遥测点、电能量、档位等测点实时状态。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检查远动机配套监控终端的监控画面，验证是否能够通过</w:t>
            </w:r>
            <w:r>
              <w:rPr>
                <w:rFonts w:ascii="宋体" w:hAnsi="宋体"/>
                <w:color w:val="auto"/>
                <w:kern w:val="0"/>
                <w:highlight w:val="none"/>
              </w:rPr>
              <w:t>主接线图、画面分图等展示站内一次设备实时状态以及遥信点、遥测点、电能量、档位等测点实时状态。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04" w:name="_Toc528273575"/>
      <w:r>
        <w:rPr>
          <w:rFonts w:hint="eastAsia"/>
          <w:color w:val="auto"/>
          <w:sz w:val="24"/>
          <w:szCs w:val="24"/>
          <w:highlight w:val="none"/>
        </w:rPr>
        <w:t>画面操作功能检验</w:t>
      </w:r>
      <w:bookmarkEnd w:id="20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画面操作功能检验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能够在画面上进行设备控制、人工置数、挂牌等操作。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kern w:val="0"/>
                <w:highlight w:val="none"/>
              </w:rPr>
              <w:t>进行设备控制、人工置数、挂牌等操作，检查操作指令是否正确下达，执行结果是否正确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05" w:name="_Toc528273576"/>
      <w:r>
        <w:rPr>
          <w:rFonts w:hint="eastAsia"/>
          <w:color w:val="auto"/>
          <w:sz w:val="24"/>
          <w:szCs w:val="24"/>
          <w:highlight w:val="none"/>
        </w:rPr>
        <w:t>信息查看和检索功能检验</w:t>
      </w:r>
      <w:bookmarkEnd w:id="20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信息查看和检索功能检验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支持变位信息、告警信息、操作信息等分类展示，支持历史信息检索</w:t>
            </w:r>
            <w:r>
              <w:rPr>
                <w:rFonts w:hint="eastAsia" w:ascii="宋体" w:hAnsi="宋体"/>
                <w:color w:val="auto"/>
                <w:kern w:val="0"/>
                <w:highlight w:val="none"/>
              </w:rPr>
              <w:t>；</w:t>
            </w:r>
            <w:r>
              <w:rPr>
                <w:rFonts w:ascii="宋体" w:hAnsi="宋体"/>
                <w:color w:val="auto"/>
                <w:kern w:val="0"/>
                <w:highlight w:val="none"/>
              </w:rPr>
              <w:t>支持保护信息查看，展示保护的定值信息、故障信息、故障录波文件等。</w:t>
            </w:r>
            <w:r>
              <w:rPr>
                <w:rFonts w:hint="eastAsia" w:ascii="宋体" w:hAnsi="宋体"/>
                <w:color w:val="auto"/>
                <w:kern w:val="0"/>
                <w:highlight w:val="none"/>
              </w:rPr>
              <w:t>能够查询通讯接口、通道配置、远动配置、规约配置、转发数据库等信息并能在权限允许下进行修改。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highlight w:val="none"/>
              </w:rPr>
              <w:t>能过监控终端界面操作检索查询</w:t>
            </w:r>
            <w:r>
              <w:rPr>
                <w:rFonts w:ascii="宋体" w:hAnsi="宋体"/>
                <w:color w:val="auto"/>
                <w:kern w:val="0"/>
                <w:highlight w:val="none"/>
              </w:rPr>
              <w:t>历史信息，检查是否对变位信息、告警信息、操作信息等分类展示</w:t>
            </w:r>
            <w:r>
              <w:rPr>
                <w:rFonts w:hint="eastAsia" w:ascii="宋体" w:hAnsi="宋体"/>
                <w:color w:val="auto"/>
                <w:kern w:val="0"/>
                <w:highlight w:val="none"/>
              </w:rPr>
              <w:t>；检查保护的</w:t>
            </w:r>
            <w:r>
              <w:rPr>
                <w:rFonts w:ascii="宋体" w:hAnsi="宋体"/>
                <w:color w:val="auto"/>
                <w:kern w:val="0"/>
                <w:highlight w:val="none"/>
              </w:rPr>
              <w:t>定值信息、故障信息、故障录波文件信息是否能够</w:t>
            </w:r>
            <w:r>
              <w:rPr>
                <w:rFonts w:hint="eastAsia" w:ascii="宋体" w:hAnsi="宋体"/>
                <w:color w:val="auto"/>
                <w:kern w:val="0"/>
                <w:highlight w:val="none"/>
              </w:rPr>
              <w:t>正常调阅。检查能否查询通讯接口、通道配置、远动配置、规约配置、转发数据库等信息并能在权限允许下进行修改。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06" w:name="_Toc528273577"/>
      <w:r>
        <w:rPr>
          <w:rFonts w:hint="eastAsia"/>
          <w:color w:val="auto"/>
          <w:sz w:val="24"/>
          <w:szCs w:val="24"/>
          <w:highlight w:val="none"/>
        </w:rPr>
        <w:t>即插即用功能检验</w:t>
      </w:r>
      <w:bookmarkEnd w:id="20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即插即用功能检验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Mot04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监控终端应支持即插即用。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接入监控终端后，检查监控终端画面显示及功能</w:t>
            </w:r>
            <w:r>
              <w:rPr>
                <w:rFonts w:hint="eastAsia" w:ascii="宋体" w:hAnsi="宋体"/>
                <w:color w:val="auto"/>
                <w:highlight w:val="none"/>
              </w:rPr>
              <w:t>是否正常，随后断开监控终端，操作过程中检查远动机工作是否正常，是否出现连接中断、重启等异常现象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07" w:name="_Toc528273578"/>
      <w:bookmarkStart w:id="208" w:name="_Toc49258177"/>
      <w:r>
        <w:rPr>
          <w:rFonts w:hint="eastAsia"/>
          <w:color w:val="auto"/>
          <w:sz w:val="24"/>
          <w:szCs w:val="24"/>
          <w:highlight w:val="none"/>
        </w:rPr>
        <w:t>防误闭锁功能检验</w:t>
      </w:r>
      <w:bookmarkEnd w:id="207"/>
      <w:bookmarkEnd w:id="20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防误闭锁功能检验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Blk01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控制命令经防误检查后方能发至间隔层，如发现错误应闭锁该</w:t>
            </w:r>
            <w:r>
              <w:rPr>
                <w:rFonts w:hint="eastAsia" w:ascii="宋体" w:hAnsi="宋体"/>
                <w:color w:val="auto"/>
                <w:kern w:val="0"/>
                <w:highlight w:val="none"/>
              </w:rPr>
              <w:t>操作；</w:t>
            </w:r>
            <w:r>
              <w:rPr>
                <w:rFonts w:ascii="宋体" w:hAnsi="宋体"/>
                <w:color w:val="auto"/>
                <w:kern w:val="0"/>
                <w:highlight w:val="none"/>
              </w:rPr>
              <w:t>具备出错报警、提示闭锁原因的功能</w:t>
            </w:r>
            <w:r>
              <w:rPr>
                <w:rFonts w:hint="eastAsia" w:ascii="宋体" w:hAnsi="宋体"/>
                <w:color w:val="auto"/>
                <w:kern w:val="0"/>
                <w:highlight w:val="none"/>
              </w:rPr>
              <w:t>；</w:t>
            </w:r>
            <w:r>
              <w:rPr>
                <w:rFonts w:ascii="宋体" w:hAnsi="宋体"/>
                <w:color w:val="auto"/>
                <w:kern w:val="0"/>
                <w:highlight w:val="none"/>
              </w:rPr>
              <w:t>具备解除闭锁功能</w:t>
            </w:r>
            <w:r>
              <w:rPr>
                <w:rFonts w:hint="eastAsia" w:ascii="宋体" w:hAnsi="宋体"/>
                <w:color w:val="auto"/>
                <w:kern w:val="0"/>
                <w:highlight w:val="none"/>
              </w:rPr>
              <w:t>，支持解除闭锁的权限管理。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从模拟主站或监控终端下发防误条件不满足的控制命令，检查命令是否经过防误逻辑校验，是否闭锁错误操作，是否有出错告警、提示闭锁原因；解除闭锁时需要验证相应权限后方可解除闭锁。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09" w:name="_Toc49258178"/>
      <w:bookmarkStart w:id="210" w:name="_Toc528273579"/>
      <w:r>
        <w:rPr>
          <w:rFonts w:hint="eastAsia"/>
          <w:color w:val="auto"/>
          <w:sz w:val="24"/>
          <w:szCs w:val="24"/>
          <w:highlight w:val="none"/>
        </w:rPr>
        <w:t>对时和时间管理功能检验</w:t>
      </w:r>
      <w:bookmarkEnd w:id="209"/>
      <w:bookmarkEnd w:id="210"/>
    </w:p>
    <w:p>
      <w:pPr>
        <w:pStyle w:val="5"/>
        <w:rPr>
          <w:color w:val="auto"/>
          <w:sz w:val="24"/>
          <w:szCs w:val="24"/>
          <w:highlight w:val="none"/>
        </w:rPr>
      </w:pPr>
      <w:bookmarkStart w:id="211" w:name="_Toc528273580"/>
      <w:r>
        <w:rPr>
          <w:rFonts w:hint="eastAsia"/>
          <w:color w:val="auto"/>
          <w:sz w:val="24"/>
          <w:szCs w:val="24"/>
          <w:highlight w:val="none"/>
        </w:rPr>
        <w:t>时间同步功能检验</w:t>
      </w:r>
      <w:bookmarkEnd w:id="21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时间同步功能检验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Tim01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智能远动网关技术规范7.6.1</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能够接收主站端和变电站端的时间同步源对时，支持时钟源优先级配置，默认优先级为B码</w:t>
            </w:r>
            <w:r>
              <w:rPr>
                <w:rFonts w:hint="eastAsia" w:ascii="宋体" w:hAnsi="宋体"/>
                <w:color w:val="auto"/>
                <w:kern w:val="0"/>
                <w:highlight w:val="none"/>
              </w:rPr>
              <w:t>&gt;远动主站&gt;其它主站。对时精度应不超过±1s。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配置远动机</w:t>
            </w:r>
            <w:r>
              <w:rPr>
                <w:rFonts w:hint="eastAsia" w:ascii="宋体" w:hAnsi="宋体"/>
                <w:color w:val="auto"/>
                <w:highlight w:val="none"/>
              </w:rPr>
              <w:t>分别</w:t>
            </w:r>
            <w:r>
              <w:rPr>
                <w:rFonts w:ascii="宋体" w:hAnsi="宋体"/>
                <w:color w:val="auto"/>
                <w:highlight w:val="none"/>
              </w:rPr>
              <w:t>接收</w:t>
            </w:r>
            <w:r>
              <w:rPr>
                <w:rFonts w:hint="eastAsia" w:ascii="宋体" w:hAnsi="宋体"/>
                <w:color w:val="auto"/>
                <w:highlight w:val="none"/>
              </w:rPr>
              <w:t>B码（高优先级）和多主站对时（远动主站、保信主站等），检查对时优先级和同步精度是否满足要求。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12" w:name="_Toc528273581"/>
      <w:r>
        <w:rPr>
          <w:rFonts w:hint="eastAsia"/>
          <w:color w:val="auto"/>
          <w:sz w:val="24"/>
          <w:szCs w:val="24"/>
          <w:highlight w:val="none"/>
        </w:rPr>
        <w:t>时间同步监测管理功能检验</w:t>
      </w:r>
      <w:bookmarkEnd w:id="21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时间同步监测管理功能检验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Tim02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宜具备时间同步监测管理功能，监测时间同步状态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检查远动机是否采用时间同步监测命令监测间隔层装置时间同步状态，并提供相应界面显示各间隔层设备的时间同步状态及误差。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13" w:name="_Toc528273582"/>
      <w:bookmarkStart w:id="214" w:name="_Toc49258179"/>
      <w:r>
        <w:rPr>
          <w:rFonts w:hint="eastAsia"/>
          <w:color w:val="auto"/>
          <w:sz w:val="24"/>
          <w:szCs w:val="24"/>
          <w:highlight w:val="none"/>
        </w:rPr>
        <w:t>冗余功能检验</w:t>
      </w:r>
      <w:bookmarkEnd w:id="213"/>
      <w:bookmarkEnd w:id="214"/>
    </w:p>
    <w:p>
      <w:pPr>
        <w:pStyle w:val="5"/>
        <w:rPr>
          <w:color w:val="auto"/>
          <w:sz w:val="24"/>
          <w:szCs w:val="24"/>
          <w:highlight w:val="none"/>
        </w:rPr>
      </w:pPr>
      <w:bookmarkStart w:id="215" w:name="_Toc528273583"/>
      <w:r>
        <w:rPr>
          <w:rFonts w:hint="eastAsia"/>
          <w:color w:val="auto"/>
          <w:sz w:val="24"/>
          <w:szCs w:val="24"/>
          <w:highlight w:val="none"/>
        </w:rPr>
        <w:t>双机冗余功能检验</w:t>
      </w:r>
      <w:bookmarkEnd w:id="21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双机冗余功能检验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Dbl01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智能远动网关技术规范7.7</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lang w:val="zh-CN"/>
              </w:rPr>
            </w:pPr>
            <w:r>
              <w:rPr>
                <w:rFonts w:ascii="宋体" w:hAnsi="宋体"/>
                <w:color w:val="auto"/>
                <w:kern w:val="0"/>
                <w:highlight w:val="none"/>
              </w:rPr>
              <w:t>应能实现双机运行策略，</w:t>
            </w:r>
            <w:r>
              <w:rPr>
                <w:rFonts w:hint="eastAsia" w:ascii="宋体" w:hAnsi="宋体"/>
                <w:color w:val="auto"/>
                <w:kern w:val="0"/>
                <w:highlight w:val="none"/>
              </w:rPr>
              <w:t>双机工作时，自动故障切换时间：≤30s。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highlight w:val="none"/>
              </w:rPr>
              <w:t>1</w:t>
            </w:r>
            <w:r>
              <w:rPr>
                <w:rFonts w:ascii="宋体" w:hAnsi="宋体"/>
                <w:color w:val="auto"/>
                <w:highlight w:val="none"/>
              </w:rPr>
              <w:t>.</w:t>
            </w:r>
            <w:r>
              <w:rPr>
                <w:rFonts w:hint="eastAsia" w:ascii="宋体" w:hAnsi="宋体"/>
                <w:color w:val="auto"/>
                <w:highlight w:val="none"/>
              </w:rPr>
              <w:t>在主、备机热备工作模式下，分别复位主机或备机，检查主备是否正确切换、主备信息是否上送到主站端，是否有异常遥信和遥测上送，同时模拟遥信变位和遥测越死区，观察遥信变位信息是否完整上送无丢失，切换时间</w:t>
            </w:r>
            <w:r>
              <w:rPr>
                <w:rFonts w:hint="eastAsia" w:ascii="宋体" w:hAnsi="宋体"/>
                <w:color w:val="auto"/>
                <w:kern w:val="0"/>
                <w:highlight w:val="none"/>
              </w:rPr>
              <w:t>≤30s。</w:t>
            </w:r>
          </w:p>
          <w:p>
            <w:pPr>
              <w:autoSpaceDE w:val="0"/>
              <w:autoSpaceDN w:val="0"/>
              <w:jc w:val="left"/>
              <w:rPr>
                <w:rFonts w:ascii="宋体" w:hAnsi="宋体"/>
                <w:color w:val="auto"/>
                <w:kern w:val="0"/>
                <w:highlight w:val="none"/>
              </w:rPr>
            </w:pPr>
            <w:r>
              <w:rPr>
                <w:rFonts w:ascii="宋体" w:hAnsi="宋体"/>
                <w:color w:val="auto"/>
                <w:highlight w:val="none"/>
              </w:rPr>
              <w:t>2.</w:t>
            </w:r>
            <w:r>
              <w:rPr>
                <w:rFonts w:hint="eastAsia" w:ascii="宋体" w:hAnsi="宋体"/>
                <w:color w:val="auto"/>
                <w:highlight w:val="none"/>
              </w:rPr>
              <w:t>在主、备机热备工作模式下，分别断开主机或备机的对下通信网线，检查主备是否正确切换、主备信息是否上送到主站端，是否有异常遥信和遥测上送，同时模拟遥信变位和遥测越死区，观察遥信变位信息是否完整上送无丢失，从装置判断出网络中断到主备切换完成时间</w:t>
            </w:r>
            <w:r>
              <w:rPr>
                <w:rFonts w:hint="eastAsia" w:ascii="宋体" w:hAnsi="宋体"/>
                <w:color w:val="auto"/>
                <w:kern w:val="0"/>
                <w:highlight w:val="none"/>
              </w:rPr>
              <w:t>≤30s。</w:t>
            </w:r>
          </w:p>
          <w:p>
            <w:pPr>
              <w:autoSpaceDE w:val="0"/>
              <w:autoSpaceDN w:val="0"/>
              <w:jc w:val="left"/>
              <w:rPr>
                <w:rFonts w:ascii="宋体" w:hAnsi="宋体"/>
                <w:color w:val="auto"/>
                <w:kern w:val="0"/>
                <w:highlight w:val="none"/>
              </w:rPr>
            </w:pPr>
            <w:r>
              <w:rPr>
                <w:rFonts w:ascii="宋体" w:hAnsi="宋体"/>
                <w:color w:val="auto"/>
                <w:kern w:val="0"/>
                <w:highlight w:val="none"/>
              </w:rPr>
              <w:t>3.</w:t>
            </w:r>
            <w:r>
              <w:rPr>
                <w:rFonts w:hint="eastAsia" w:ascii="宋体" w:hAnsi="宋体"/>
                <w:color w:val="auto"/>
                <w:highlight w:val="none"/>
              </w:rPr>
              <w:t>在主、备机热备工作模式下，分别连续多次强制结束主机或备机的关键进程，检查主备是否正确切换、主备信息是否上送到主站端，是否有异常遥信和遥测上送，同时模拟遥信变位和遥测越死区，观察遥信变位信息是否完整上送无丢失，切换时间</w:t>
            </w:r>
            <w:r>
              <w:rPr>
                <w:rFonts w:hint="eastAsia" w:ascii="宋体" w:hAnsi="宋体"/>
                <w:color w:val="auto"/>
                <w:kern w:val="0"/>
                <w:highlight w:val="none"/>
              </w:rPr>
              <w:t>≤30s。</w:t>
            </w:r>
          </w:p>
          <w:p>
            <w:pPr>
              <w:autoSpaceDE w:val="0"/>
              <w:autoSpaceDN w:val="0"/>
              <w:jc w:val="left"/>
              <w:rPr>
                <w:rFonts w:ascii="宋体" w:hAnsi="宋体"/>
                <w:color w:val="auto"/>
                <w:highlight w:val="none"/>
              </w:rPr>
            </w:pPr>
            <w:r>
              <w:rPr>
                <w:rFonts w:ascii="宋体" w:hAnsi="宋体"/>
                <w:color w:val="auto"/>
                <w:kern w:val="0"/>
                <w:highlight w:val="none"/>
              </w:rPr>
              <w:t>4.</w:t>
            </w:r>
            <w:r>
              <w:rPr>
                <w:rFonts w:hint="eastAsia" w:ascii="宋体" w:hAnsi="宋体"/>
                <w:color w:val="auto"/>
                <w:highlight w:val="none"/>
              </w:rPr>
              <w:t>在双主机模式下，分别复位主机A或主机B，检查是否有异常遥信和遥测上送，同时模拟遥信变位和遥测越死区，观察遥信变位信息是否完整上送无丢失</w:t>
            </w:r>
            <w:r>
              <w:rPr>
                <w:rFonts w:hint="eastAsia" w:ascii="宋体" w:hAnsi="宋体"/>
                <w:color w:val="auto"/>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16" w:name="_Toc528273584"/>
      <w:r>
        <w:rPr>
          <w:rFonts w:hint="eastAsia"/>
          <w:color w:val="auto"/>
          <w:sz w:val="24"/>
          <w:szCs w:val="24"/>
          <w:highlight w:val="none"/>
        </w:rPr>
        <w:t>双通道冗余功能检验</w:t>
      </w:r>
      <w:bookmarkEnd w:id="21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双通道冗余功能检验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Dbl02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智能远动网关技术规范7.7</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智能远动机应</w:t>
            </w:r>
            <w:r>
              <w:rPr>
                <w:rFonts w:ascii="宋体" w:hAnsi="宋体"/>
                <w:color w:val="auto"/>
                <w:kern w:val="0"/>
                <w:highlight w:val="none"/>
              </w:rPr>
              <w:t>支持</w:t>
            </w:r>
            <w:r>
              <w:rPr>
                <w:rFonts w:hint="eastAsia" w:ascii="宋体" w:hAnsi="宋体"/>
                <w:color w:val="auto"/>
                <w:kern w:val="0"/>
                <w:highlight w:val="none"/>
              </w:rPr>
              <w:t>各个应用和模块</w:t>
            </w:r>
            <w:r>
              <w:rPr>
                <w:rFonts w:ascii="宋体" w:hAnsi="宋体"/>
                <w:color w:val="auto"/>
                <w:kern w:val="0"/>
                <w:highlight w:val="none"/>
              </w:rPr>
              <w:t>通道的双主、主备切换功能。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针对</w:t>
            </w:r>
            <w:r>
              <w:rPr>
                <w:rFonts w:hint="eastAsia" w:ascii="宋体" w:hAnsi="宋体"/>
                <w:color w:val="auto"/>
                <w:kern w:val="0"/>
                <w:highlight w:val="none"/>
              </w:rPr>
              <w:t>智能远动机的各个应用和模块，</w:t>
            </w:r>
            <w:r>
              <w:rPr>
                <w:rFonts w:hint="eastAsia" w:ascii="宋体" w:hAnsi="宋体"/>
                <w:color w:val="auto"/>
                <w:highlight w:val="none"/>
              </w:rPr>
              <w:t>主、备通道热备工作模式下，分别复位主通道或备通道，检查主备通道是否正确切换，是否有异常遥信和遥测上送，同时在切机前、切机中、切机后分别模拟200个遥信变位和200个遥测越死区，在主备模式下观察遥信变化信息是否完整上送无丢失，在双主模式下观察所有信息是否完整上送无丢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17" w:name="_Toc528273585"/>
      <w:bookmarkStart w:id="218" w:name="_Toc49258180"/>
      <w:r>
        <w:rPr>
          <w:rFonts w:hint="eastAsia"/>
          <w:color w:val="auto"/>
          <w:sz w:val="24"/>
          <w:szCs w:val="24"/>
          <w:highlight w:val="none"/>
        </w:rPr>
        <w:t>通道监视功能检验</w:t>
      </w:r>
      <w:bookmarkEnd w:id="217"/>
      <w:bookmarkEnd w:id="21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通道监视功能检验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Cmo01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31994-2015 智能远动网关技术规范7.8</w:t>
            </w:r>
          </w:p>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应具备与智能电子装置</w:t>
            </w:r>
            <w:r>
              <w:rPr>
                <w:rFonts w:hint="eastAsia" w:ascii="宋体" w:hAnsi="宋体"/>
                <w:color w:val="auto"/>
                <w:kern w:val="0"/>
                <w:highlight w:val="none"/>
              </w:rPr>
              <w:t>、与主站间的通信状态检查和监视功能。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分别模拟远动机与站内不同装置和主站通信中断和恢复，检查远动机各个业务显示的通信状态是否正确，并产生相应通信事件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19" w:name="_Toc49258181"/>
      <w:bookmarkStart w:id="220" w:name="_Toc528273586"/>
      <w:r>
        <w:rPr>
          <w:rFonts w:hint="eastAsia"/>
          <w:color w:val="auto"/>
          <w:sz w:val="24"/>
          <w:szCs w:val="24"/>
          <w:highlight w:val="none"/>
        </w:rPr>
        <w:t>自检和日志功能检验</w:t>
      </w:r>
      <w:bookmarkEnd w:id="219"/>
      <w:bookmarkEnd w:id="220"/>
    </w:p>
    <w:p>
      <w:pPr>
        <w:pStyle w:val="5"/>
        <w:rPr>
          <w:color w:val="auto"/>
          <w:sz w:val="24"/>
          <w:szCs w:val="24"/>
          <w:highlight w:val="none"/>
        </w:rPr>
      </w:pPr>
      <w:bookmarkStart w:id="221" w:name="_Toc528273587"/>
      <w:r>
        <w:rPr>
          <w:rFonts w:hint="eastAsia"/>
          <w:color w:val="auto"/>
          <w:sz w:val="24"/>
          <w:szCs w:val="24"/>
          <w:highlight w:val="none"/>
        </w:rPr>
        <w:t>自诊断功能检验</w:t>
      </w:r>
      <w:bookmarkEnd w:id="22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自诊断功能检验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Log01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具备自诊断功能</w:t>
            </w:r>
            <w:r>
              <w:rPr>
                <w:rFonts w:hint="eastAsia" w:ascii="宋体" w:hAnsi="宋体"/>
                <w:color w:val="auto"/>
                <w:kern w:val="0"/>
                <w:highlight w:val="none"/>
              </w:rPr>
              <w:t>，自诊断结果能够上送主站。</w:t>
            </w:r>
          </w:p>
          <w:p>
            <w:pPr>
              <w:autoSpaceDE w:val="0"/>
              <w:autoSpaceDN w:val="0"/>
              <w:jc w:val="left"/>
              <w:rPr>
                <w:rFonts w:ascii="宋体" w:hAnsi="宋体"/>
                <w:color w:val="auto"/>
                <w:kern w:val="0"/>
                <w:highlight w:val="none"/>
              </w:rPr>
            </w:pPr>
            <w:r>
              <w:rPr>
                <w:rFonts w:hint="eastAsia" w:ascii="宋体" w:hAnsi="宋体"/>
                <w:color w:val="auto"/>
                <w:kern w:val="0"/>
                <w:highlight w:val="none"/>
              </w:rPr>
              <w:t>具备资源监视和报警功能，能够监视装置自身的CPU、内存、硬盘的状态，检测到异常时应能报警，宜能将告警信息上送到主站。</w:t>
            </w:r>
          </w:p>
          <w:p>
            <w:pPr>
              <w:autoSpaceDE w:val="0"/>
              <w:autoSpaceDN w:val="0"/>
              <w:jc w:val="left"/>
              <w:rPr>
                <w:rFonts w:ascii="宋体" w:hAnsi="宋体"/>
                <w:color w:val="auto"/>
                <w:kern w:val="0"/>
                <w:highlight w:val="none"/>
              </w:rPr>
            </w:pPr>
            <w:r>
              <w:rPr>
                <w:rFonts w:ascii="宋体" w:hAnsi="宋体"/>
                <w:color w:val="auto"/>
                <w:kern w:val="0"/>
                <w:highlight w:val="none"/>
              </w:rPr>
              <w:t>具备软件和硬件</w:t>
            </w:r>
            <w:r>
              <w:rPr>
                <w:rFonts w:hint="eastAsia" w:ascii="宋体" w:hAnsi="宋体"/>
                <w:color w:val="auto"/>
                <w:kern w:val="0"/>
                <w:highlight w:val="none"/>
              </w:rPr>
              <w:t>看门狗管控功能，装置应设置有关键进程守护程序和自复位电路，在正常情况下，装置不应出现程序死循环的情况，在因干扰而造成关键进程异常时，应能通过关键进程守护程序自动重启关键进程并恢复正常工作。关键进程守护程序异常终止或停止运行时，装置应能通过自复位电路自动恢复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模拟远动机故障，包括通信中断，进程异常，对时异常，模块异常，检查远动机自检程序是否能定位自身故障原因及位置，并能将诊断信息正确上送到主站。</w:t>
            </w:r>
          </w:p>
          <w:p>
            <w:pPr>
              <w:autoSpaceDE w:val="0"/>
              <w:autoSpaceDN w:val="0"/>
              <w:jc w:val="left"/>
              <w:rPr>
                <w:rFonts w:ascii="宋体" w:hAnsi="宋体"/>
                <w:color w:val="auto"/>
                <w:highlight w:val="none"/>
              </w:rPr>
            </w:pPr>
            <w:r>
              <w:rPr>
                <w:rFonts w:ascii="宋体" w:hAnsi="宋体"/>
                <w:color w:val="auto"/>
                <w:highlight w:val="none"/>
              </w:rPr>
              <w:t>检查装置能否显示</w:t>
            </w:r>
            <w:r>
              <w:rPr>
                <w:rFonts w:hint="eastAsia" w:ascii="宋体" w:hAnsi="宋体"/>
                <w:color w:val="auto"/>
                <w:highlight w:val="none"/>
              </w:rPr>
              <w:t>CPU、内存、硬盘的状态，模拟C</w:t>
            </w:r>
            <w:r>
              <w:rPr>
                <w:rFonts w:ascii="宋体" w:hAnsi="宋体"/>
                <w:color w:val="auto"/>
                <w:highlight w:val="none"/>
              </w:rPr>
              <w:t>PU、内存使用率、磁盘剩余</w:t>
            </w:r>
            <w:r>
              <w:rPr>
                <w:rFonts w:hint="eastAsia" w:ascii="宋体" w:hAnsi="宋体"/>
                <w:color w:val="auto"/>
                <w:highlight w:val="none"/>
              </w:rPr>
              <w:t>空间达到告警限值，检查装置是否正确产生告警，并将告警上送到主站。</w:t>
            </w:r>
          </w:p>
          <w:p>
            <w:pPr>
              <w:autoSpaceDE w:val="0"/>
              <w:autoSpaceDN w:val="0"/>
              <w:jc w:val="left"/>
              <w:rPr>
                <w:rFonts w:ascii="宋体" w:hAnsi="宋体"/>
                <w:color w:val="auto"/>
                <w:kern w:val="0"/>
                <w:highlight w:val="none"/>
              </w:rPr>
            </w:pPr>
            <w:r>
              <w:rPr>
                <w:rFonts w:ascii="宋体" w:hAnsi="宋体"/>
                <w:color w:val="auto"/>
                <w:highlight w:val="none"/>
              </w:rPr>
              <w:t>强制结束装置关键进程，检查</w:t>
            </w:r>
            <w:r>
              <w:rPr>
                <w:rFonts w:hint="eastAsia" w:ascii="宋体" w:hAnsi="宋体"/>
                <w:color w:val="auto"/>
                <w:kern w:val="0"/>
                <w:highlight w:val="none"/>
              </w:rPr>
              <w:t>关键进程守护程序能否自动重启关键进程并恢复正常工作。</w:t>
            </w:r>
          </w:p>
          <w:p>
            <w:pPr>
              <w:autoSpaceDE w:val="0"/>
              <w:autoSpaceDN w:val="0"/>
              <w:jc w:val="left"/>
              <w:rPr>
                <w:rFonts w:ascii="宋体" w:hAnsi="宋体"/>
                <w:color w:val="auto"/>
                <w:highlight w:val="none"/>
              </w:rPr>
            </w:pPr>
            <w:r>
              <w:rPr>
                <w:rFonts w:hint="eastAsia" w:ascii="宋体" w:hAnsi="宋体"/>
                <w:color w:val="auto"/>
                <w:kern w:val="0"/>
                <w:highlight w:val="none"/>
              </w:rPr>
              <w:t>强制结束关键进程守护程序，检查装置能否通过自复位电路自动恢复正常工作。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22" w:name="_Toc528273588"/>
      <w:r>
        <w:rPr>
          <w:rFonts w:hint="eastAsia"/>
          <w:color w:val="auto"/>
          <w:sz w:val="24"/>
          <w:szCs w:val="24"/>
          <w:highlight w:val="none"/>
        </w:rPr>
        <w:t>日志功能检验</w:t>
      </w:r>
      <w:bookmarkEnd w:id="22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日志功能检验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Log02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具备日志功能</w:t>
            </w:r>
            <w:r>
              <w:rPr>
                <w:rFonts w:hint="eastAsia" w:ascii="宋体" w:hAnsi="宋体"/>
                <w:color w:val="auto"/>
                <w:kern w:val="0"/>
                <w:highlight w:val="none"/>
              </w:rPr>
              <w:t>，记录装置的运行状况。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分别模拟远动机与站内不同装置和主站通信中断和恢复，检查远动机是否</w:t>
            </w:r>
            <w:r>
              <w:rPr>
                <w:rFonts w:hint="eastAsia" w:ascii="宋体" w:hAnsi="宋体"/>
                <w:color w:val="auto"/>
                <w:highlight w:val="none"/>
              </w:rPr>
              <w:t>能正确监测，并将通讯中断记录保存到历史日志。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r>
        <w:rPr>
          <w:rFonts w:hint="eastAsia"/>
          <w:color w:val="auto"/>
          <w:sz w:val="24"/>
          <w:szCs w:val="24"/>
          <w:highlight w:val="none"/>
        </w:rPr>
        <w:t>模块独立性检验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模块独立性检验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Log03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智</w:t>
            </w:r>
            <w:r>
              <w:rPr>
                <w:rFonts w:ascii="宋体" w:hAnsi="宋体"/>
                <w:color w:val="auto"/>
                <w:kern w:val="0"/>
                <w:highlight w:val="none"/>
              </w:rPr>
              <w:t>能远动机各业务模块应相互独立，互不影响。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智能远动机所有业务正常接入情况下，依次启停不同的业务模块，检查其它业务是否受到影响。模拟远动机与站内不同装置和主站通信中断和恢复，检查远动机是否</w:t>
            </w:r>
            <w:r>
              <w:rPr>
                <w:rFonts w:hint="eastAsia" w:ascii="宋体" w:hAnsi="宋体"/>
                <w:color w:val="auto"/>
                <w:highlight w:val="none"/>
              </w:rPr>
              <w:t>能正确监测，并将通讯中断记录保存到历史日志。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23" w:name="_Toc528273589"/>
      <w:bookmarkStart w:id="224" w:name="_Toc49258182"/>
      <w:r>
        <w:rPr>
          <w:rFonts w:hint="eastAsia"/>
          <w:color w:val="auto"/>
          <w:sz w:val="24"/>
          <w:szCs w:val="24"/>
          <w:highlight w:val="none"/>
        </w:rPr>
        <w:t>性能指标检验</w:t>
      </w:r>
      <w:bookmarkEnd w:id="223"/>
      <w:bookmarkEnd w:id="224"/>
    </w:p>
    <w:p>
      <w:pPr>
        <w:pStyle w:val="5"/>
        <w:rPr>
          <w:color w:val="auto"/>
          <w:sz w:val="24"/>
          <w:szCs w:val="24"/>
          <w:highlight w:val="none"/>
        </w:rPr>
      </w:pPr>
      <w:bookmarkStart w:id="225" w:name="_Toc528273590"/>
      <w:r>
        <w:rPr>
          <w:rFonts w:hint="eastAsia"/>
          <w:color w:val="auto"/>
          <w:sz w:val="24"/>
          <w:szCs w:val="24"/>
          <w:highlight w:val="none"/>
        </w:rPr>
        <w:t>接入能力检验</w:t>
      </w:r>
      <w:bookmarkEnd w:id="22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接入能力检验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Pef01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支持接入装置数量不小于256台；支持主站接入的数量不少于8个。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模拟</w:t>
            </w:r>
            <w:r>
              <w:rPr>
                <w:rFonts w:hint="eastAsia" w:ascii="宋体" w:hAnsi="宋体"/>
                <w:color w:val="auto"/>
                <w:highlight w:val="none"/>
              </w:rPr>
              <w:t>256台装置和8个主站同时接入远动机，检查远动机工作是否正常。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26" w:name="_Toc528273591"/>
      <w:r>
        <w:rPr>
          <w:rFonts w:hint="eastAsia"/>
          <w:color w:val="auto"/>
          <w:sz w:val="24"/>
          <w:szCs w:val="24"/>
          <w:highlight w:val="none"/>
        </w:rPr>
        <w:t>响应时间检验</w:t>
      </w:r>
      <w:bookmarkEnd w:id="22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响应时间检验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Pef02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遥测信息响应时间（从I/O变化到智能远动机出口）≤2s。</w:t>
            </w:r>
          </w:p>
          <w:p>
            <w:pPr>
              <w:autoSpaceDE w:val="0"/>
              <w:autoSpaceDN w:val="0"/>
              <w:jc w:val="left"/>
              <w:rPr>
                <w:rFonts w:ascii="宋体" w:hAnsi="宋体"/>
                <w:color w:val="auto"/>
                <w:kern w:val="0"/>
                <w:highlight w:val="none"/>
              </w:rPr>
            </w:pPr>
            <w:r>
              <w:rPr>
                <w:rFonts w:hint="eastAsia" w:ascii="宋体" w:hAnsi="宋体"/>
                <w:color w:val="auto"/>
                <w:kern w:val="0"/>
                <w:highlight w:val="none"/>
              </w:rPr>
              <w:t>遥信变化响应时间（从I/O变化到智能远动机出口）≤1s。</w:t>
            </w:r>
          </w:p>
          <w:p>
            <w:pPr>
              <w:autoSpaceDE w:val="0"/>
              <w:autoSpaceDN w:val="0"/>
              <w:jc w:val="left"/>
              <w:rPr>
                <w:rFonts w:ascii="宋体" w:hAnsi="宋体"/>
                <w:color w:val="auto"/>
                <w:kern w:val="0"/>
                <w:highlight w:val="none"/>
              </w:rPr>
            </w:pPr>
            <w:r>
              <w:rPr>
                <w:rFonts w:hint="eastAsia" w:ascii="宋体" w:hAnsi="宋体"/>
                <w:color w:val="auto"/>
                <w:kern w:val="0"/>
                <w:highlight w:val="none"/>
              </w:rPr>
              <w:t>控制命令从生成到输出的时间(从智能远动机接收到控制命令到I/O出口)≤1s。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模拟遥测、遥信变化，检查响应时间</w:t>
            </w:r>
            <w:r>
              <w:rPr>
                <w:rFonts w:hint="eastAsia" w:ascii="宋体" w:hAnsi="宋体"/>
                <w:color w:val="auto"/>
                <w:highlight w:val="none"/>
              </w:rPr>
              <w:t>是否满足技术要求；从主站下发控制命令，检查远动机从接收命令到转出命令的时间是否满足技术要求。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27" w:name="_Toc528273592"/>
      <w:r>
        <w:rPr>
          <w:rFonts w:hint="eastAsia"/>
          <w:color w:val="auto"/>
          <w:sz w:val="24"/>
          <w:szCs w:val="24"/>
          <w:highlight w:val="none"/>
        </w:rPr>
        <w:t>雪崩检验</w:t>
      </w:r>
      <w:bookmarkEnd w:id="227"/>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雪崩检验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Pef03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在200点遥信每秒变化一次，连续变化40次的情况下，变位信息记录完整，时间顺序记录时间正确。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模拟</w:t>
            </w:r>
            <w:r>
              <w:rPr>
                <w:rFonts w:hint="eastAsia" w:ascii="宋体" w:hAnsi="宋体"/>
                <w:color w:val="auto"/>
                <w:kern w:val="0"/>
                <w:highlight w:val="none"/>
              </w:rPr>
              <w:t>200点遥信每秒变化一次，连续变化40次，检查主站收到的变位信息记录是否完整，时间顺序记录时间是否正确。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28" w:name="_Toc528273593"/>
      <w:r>
        <w:rPr>
          <w:rFonts w:hint="eastAsia"/>
          <w:color w:val="auto"/>
          <w:sz w:val="24"/>
          <w:szCs w:val="24"/>
          <w:highlight w:val="none"/>
        </w:rPr>
        <w:t>遥控成功率检验</w:t>
      </w:r>
      <w:bookmarkEnd w:id="22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遥控成功率检验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Pef04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遥控动作成功率＞99.99%。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模拟遥控操作</w:t>
            </w:r>
            <w:r>
              <w:rPr>
                <w:rFonts w:hint="eastAsia" w:ascii="宋体" w:hAnsi="宋体"/>
                <w:color w:val="auto"/>
                <w:highlight w:val="none"/>
              </w:rPr>
              <w:t>1000次，检查遥控动作成功率。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29" w:name="_Toc528273594"/>
      <w:r>
        <w:rPr>
          <w:rFonts w:hint="eastAsia"/>
          <w:color w:val="auto"/>
          <w:sz w:val="24"/>
          <w:szCs w:val="24"/>
          <w:highlight w:val="none"/>
        </w:rPr>
        <w:t>系统资源技术指标检验</w:t>
      </w:r>
      <w:bookmarkEnd w:id="22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系统资源技术指标检验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Pef05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lang w:val="zh-CN"/>
              </w:rPr>
            </w:pPr>
            <w:r>
              <w:rPr>
                <w:rFonts w:hint="eastAsia" w:ascii="宋体" w:hAnsi="宋体"/>
                <w:color w:val="auto"/>
                <w:kern w:val="0"/>
                <w:highlight w:val="none"/>
                <w:lang w:val="zh-CN"/>
              </w:rPr>
              <w:t>CPU平均负荷率正常时（任意5min内）≤30％，故障时（</w:t>
            </w:r>
            <w:r>
              <w:rPr>
                <w:rFonts w:ascii="宋体" w:hAnsi="宋体"/>
                <w:color w:val="auto"/>
                <w:kern w:val="0"/>
                <w:highlight w:val="none"/>
                <w:lang w:val="zh-CN"/>
              </w:rPr>
              <w:t>10s</w:t>
            </w:r>
            <w:r>
              <w:rPr>
                <w:rFonts w:hint="eastAsia" w:ascii="宋体" w:hAnsi="宋体"/>
                <w:color w:val="auto"/>
                <w:kern w:val="0"/>
                <w:highlight w:val="none"/>
                <w:lang w:val="zh-CN"/>
              </w:rPr>
              <w:t>内）≤50％。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检查远动机在电网正常运行状态下的</w:t>
            </w:r>
            <w:r>
              <w:rPr>
                <w:rFonts w:hint="eastAsia" w:ascii="宋体" w:hAnsi="宋体"/>
                <w:color w:val="auto"/>
                <w:highlight w:val="none"/>
              </w:rPr>
              <w:t>CPU负荷率</w:t>
            </w:r>
            <w:r>
              <w:rPr>
                <w:rFonts w:hint="eastAsia" w:ascii="宋体" w:hAnsi="宋体"/>
                <w:color w:val="auto"/>
                <w:kern w:val="0"/>
                <w:highlight w:val="none"/>
                <w:lang w:val="zh-CN"/>
              </w:rPr>
              <w:t>（任意5min内）</w:t>
            </w:r>
            <w:r>
              <w:rPr>
                <w:rFonts w:hint="eastAsia" w:ascii="宋体" w:hAnsi="宋体"/>
                <w:color w:val="auto"/>
                <w:highlight w:val="none"/>
              </w:rPr>
              <w:t>，在雪崩试验中检查远动机的CPU负荷率</w:t>
            </w:r>
            <w:r>
              <w:rPr>
                <w:rFonts w:hint="eastAsia" w:ascii="宋体" w:hAnsi="宋体"/>
                <w:color w:val="auto"/>
                <w:kern w:val="0"/>
                <w:highlight w:val="none"/>
                <w:lang w:val="zh-CN"/>
              </w:rPr>
              <w:t>（任意</w:t>
            </w:r>
            <w:r>
              <w:rPr>
                <w:rFonts w:ascii="宋体" w:hAnsi="宋体"/>
                <w:color w:val="auto"/>
                <w:kern w:val="0"/>
                <w:highlight w:val="none"/>
                <w:lang w:val="zh-CN"/>
              </w:rPr>
              <w:t>10s</w:t>
            </w:r>
            <w:r>
              <w:rPr>
                <w:rFonts w:hint="eastAsia" w:ascii="宋体" w:hAnsi="宋体"/>
                <w:color w:val="auto"/>
                <w:kern w:val="0"/>
                <w:highlight w:val="none"/>
                <w:lang w:val="zh-CN"/>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r>
        <w:rPr>
          <w:rFonts w:hint="eastAsia"/>
          <w:color w:val="auto"/>
          <w:sz w:val="24"/>
          <w:szCs w:val="24"/>
          <w:highlight w:val="none"/>
        </w:rPr>
        <w:t>同一IP地址多连接检验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同一IP地址多连接检验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Pef06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DL/T 1950-2018 变电站数据通信网关机检测规范7.4.1.8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lang w:val="zh-CN"/>
              </w:rPr>
            </w:pPr>
            <w:r>
              <w:rPr>
                <w:rFonts w:hint="eastAsia" w:ascii="宋体" w:hAnsi="宋体"/>
                <w:color w:val="auto"/>
                <w:highlight w:val="none"/>
              </w:rPr>
              <w:t>当同一IP地址的客户端对智能远动机DL/T 634.5104规约同一端口号服务端发起新的连接请求时，智能远动机应能正确关闭原有链路，释放相关连接资源，重新响应新的连接请求。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通过模拟主站与智能远动机建立DL/T 634.5104通信连接，同一IP地址再发起一个新的连接，查看智能远动机原连接与新连接的通信情况。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30" w:name="_Toc528273595"/>
      <w:bookmarkStart w:id="231" w:name="_Toc49258183"/>
      <w:r>
        <w:rPr>
          <w:rFonts w:hint="eastAsia"/>
          <w:color w:val="auto"/>
          <w:sz w:val="24"/>
          <w:szCs w:val="24"/>
          <w:highlight w:val="none"/>
        </w:rPr>
        <w:t>规约一致性检验</w:t>
      </w:r>
      <w:bookmarkEnd w:id="230"/>
      <w:bookmarkEnd w:id="231"/>
    </w:p>
    <w:p>
      <w:pPr>
        <w:pStyle w:val="5"/>
        <w:rPr>
          <w:color w:val="auto"/>
          <w:sz w:val="24"/>
          <w:szCs w:val="24"/>
          <w:highlight w:val="none"/>
        </w:rPr>
      </w:pPr>
      <w:bookmarkStart w:id="232" w:name="_Toc528273596"/>
      <w:r>
        <w:rPr>
          <w:rFonts w:hint="eastAsia"/>
          <w:color w:val="auto"/>
          <w:sz w:val="24"/>
          <w:szCs w:val="24"/>
          <w:highlight w:val="none"/>
        </w:rPr>
        <w:t>101规约一致性检验</w:t>
      </w:r>
      <w:bookmarkEnd w:id="23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101规约一致性检验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Pot01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DL/T 634.5101-2002 远动设备及系统 第5 部分：传输规约 第101 篇：基本远动任务配套标准</w:t>
            </w:r>
          </w:p>
          <w:p>
            <w:pPr>
              <w:rPr>
                <w:rFonts w:ascii="宋体" w:hAnsi="宋体"/>
                <w:color w:val="auto"/>
                <w:highlight w:val="none"/>
              </w:rPr>
            </w:pPr>
            <w:r>
              <w:rPr>
                <w:rFonts w:hint="eastAsia" w:ascii="宋体" w:hAnsi="宋体"/>
                <w:color w:val="auto"/>
                <w:highlight w:val="none"/>
              </w:rPr>
              <w:t>Q/CSG 110007-2012 DL634.5.101-2002远动协议南方电网实施细则(V1.0)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远动机采用的</w:t>
            </w:r>
            <w:r>
              <w:rPr>
                <w:rFonts w:hint="eastAsia" w:ascii="宋体" w:hAnsi="宋体"/>
                <w:color w:val="auto"/>
                <w:kern w:val="0"/>
                <w:highlight w:val="none"/>
              </w:rPr>
              <w:t>101</w:t>
            </w:r>
            <w:r>
              <w:rPr>
                <w:rFonts w:ascii="宋体" w:hAnsi="宋体"/>
                <w:color w:val="auto"/>
                <w:kern w:val="0"/>
                <w:highlight w:val="none"/>
              </w:rPr>
              <w:t>规约应满足</w:t>
            </w:r>
            <w:r>
              <w:rPr>
                <w:rFonts w:hint="eastAsia" w:ascii="宋体" w:hAnsi="宋体"/>
                <w:color w:val="auto"/>
                <w:highlight w:val="none"/>
              </w:rPr>
              <w:t>DL/T 634.5101-2002和</w:t>
            </w:r>
            <w:r>
              <w:rPr>
                <w:rFonts w:ascii="宋体" w:hAnsi="宋体"/>
                <w:color w:val="auto"/>
                <w:highlight w:val="none"/>
              </w:rPr>
              <w:t>Q/CSG 110007-2012</w:t>
            </w:r>
            <w:r>
              <w:rPr>
                <w:rFonts w:hint="eastAsia" w:ascii="宋体" w:hAnsi="宋体"/>
                <w:color w:val="auto"/>
                <w:highlight w:val="none"/>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按</w:t>
            </w:r>
            <w:r>
              <w:rPr>
                <w:rFonts w:hint="eastAsia" w:ascii="宋体" w:hAnsi="宋体"/>
                <w:color w:val="auto"/>
                <w:highlight w:val="none"/>
              </w:rPr>
              <w:t>DL/T 634.5101-2002规定的一致性测试方法进行测试。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33" w:name="_Toc528273597"/>
      <w:r>
        <w:rPr>
          <w:rFonts w:hint="eastAsia"/>
          <w:color w:val="auto"/>
          <w:sz w:val="24"/>
          <w:szCs w:val="24"/>
          <w:highlight w:val="none"/>
        </w:rPr>
        <w:t>104规约一致性检验</w:t>
      </w:r>
      <w:bookmarkEnd w:id="23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104规约一致性检验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Pot02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DL/T 634.5104-2009 远动设备及系统 第5-104部分：传输规约 采用标准传输协议集的IEC60870-5-101网络访问</w:t>
            </w:r>
          </w:p>
          <w:p>
            <w:pPr>
              <w:rPr>
                <w:rFonts w:ascii="宋体" w:hAnsi="宋体"/>
                <w:color w:val="auto"/>
                <w:highlight w:val="none"/>
              </w:rPr>
            </w:pPr>
            <w:r>
              <w:rPr>
                <w:rFonts w:hint="eastAsia" w:ascii="宋体" w:hAnsi="宋体"/>
                <w:color w:val="auto"/>
                <w:highlight w:val="none"/>
              </w:rPr>
              <w:t>Q/CSG 110006-2012 DL634.5.104-2002远动协议南方电网实施细则(V1.0)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远动机采用的</w:t>
            </w:r>
            <w:r>
              <w:rPr>
                <w:rFonts w:hint="eastAsia" w:ascii="宋体" w:hAnsi="宋体"/>
                <w:color w:val="auto"/>
                <w:kern w:val="0"/>
                <w:highlight w:val="none"/>
              </w:rPr>
              <w:t>1</w:t>
            </w:r>
            <w:r>
              <w:rPr>
                <w:rFonts w:ascii="宋体" w:hAnsi="宋体"/>
                <w:color w:val="auto"/>
                <w:kern w:val="0"/>
                <w:highlight w:val="none"/>
              </w:rPr>
              <w:t>04规约应满足</w:t>
            </w:r>
            <w:r>
              <w:rPr>
                <w:rFonts w:hint="eastAsia" w:ascii="宋体" w:hAnsi="宋体"/>
                <w:color w:val="auto"/>
                <w:highlight w:val="none"/>
              </w:rPr>
              <w:t>DL/T 634.5104-2009和</w:t>
            </w:r>
            <w:r>
              <w:rPr>
                <w:rFonts w:ascii="宋体" w:hAnsi="宋体"/>
                <w:color w:val="auto"/>
                <w:highlight w:val="none"/>
              </w:rPr>
              <w:t>Q/CSG 110006-2012</w:t>
            </w:r>
            <w:r>
              <w:rPr>
                <w:rFonts w:hint="eastAsia" w:ascii="宋体" w:hAnsi="宋体"/>
                <w:color w:val="auto"/>
                <w:highlight w:val="none"/>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按</w:t>
            </w:r>
            <w:r>
              <w:rPr>
                <w:rFonts w:hint="eastAsia" w:ascii="宋体" w:hAnsi="宋体"/>
                <w:color w:val="auto"/>
                <w:highlight w:val="none"/>
              </w:rPr>
              <w:t>DL/T 634.5104-2009规定的一致性测试方法进行测试。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34" w:name="_Toc528273598"/>
      <w:r>
        <w:rPr>
          <w:rFonts w:hint="eastAsia"/>
          <w:color w:val="auto"/>
          <w:sz w:val="24"/>
          <w:szCs w:val="24"/>
          <w:highlight w:val="none"/>
        </w:rPr>
        <w:t>61850规约一致性检验</w:t>
      </w:r>
      <w:bookmarkEnd w:id="23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61850规约一致性检验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Pot03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DL/T 860 变电站和系统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远动机采用的</w:t>
            </w:r>
            <w:r>
              <w:rPr>
                <w:rFonts w:hint="eastAsia" w:ascii="宋体" w:hAnsi="宋体"/>
                <w:color w:val="auto"/>
                <w:kern w:val="0"/>
                <w:highlight w:val="none"/>
              </w:rPr>
              <w:t>6185</w:t>
            </w:r>
            <w:r>
              <w:rPr>
                <w:rFonts w:ascii="宋体" w:hAnsi="宋体"/>
                <w:color w:val="auto"/>
                <w:kern w:val="0"/>
                <w:highlight w:val="none"/>
              </w:rPr>
              <w:t>0规约应满足</w:t>
            </w:r>
            <w:r>
              <w:rPr>
                <w:rFonts w:hint="eastAsia" w:ascii="宋体" w:hAnsi="宋体"/>
                <w:color w:val="auto"/>
                <w:highlight w:val="none"/>
              </w:rPr>
              <w:t xml:space="preserve">DL/T </w:t>
            </w:r>
            <w:r>
              <w:rPr>
                <w:rFonts w:ascii="宋体" w:hAnsi="宋体"/>
                <w:color w:val="auto"/>
                <w:highlight w:val="none"/>
              </w:rPr>
              <w:t>860</w:t>
            </w:r>
            <w:r>
              <w:rPr>
                <w:rFonts w:hint="eastAsia" w:ascii="宋体" w:hAnsi="宋体"/>
                <w:color w:val="auto"/>
                <w:highlight w:val="none"/>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按</w:t>
            </w:r>
            <w:r>
              <w:rPr>
                <w:rFonts w:hint="eastAsia" w:ascii="宋体" w:hAnsi="宋体"/>
                <w:color w:val="auto"/>
                <w:highlight w:val="none"/>
              </w:rPr>
              <w:t xml:space="preserve">DL/T </w:t>
            </w:r>
            <w:r>
              <w:rPr>
                <w:rFonts w:ascii="宋体" w:hAnsi="宋体"/>
                <w:color w:val="auto"/>
                <w:highlight w:val="none"/>
              </w:rPr>
              <w:t>860</w:t>
            </w:r>
            <w:r>
              <w:rPr>
                <w:rFonts w:hint="eastAsia" w:ascii="宋体" w:hAnsi="宋体"/>
                <w:color w:val="auto"/>
                <w:highlight w:val="none"/>
              </w:rPr>
              <w:t>规定的一致性测试方法分别对61850 Server和61850 Client进行测试。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r>
        <w:rPr>
          <w:color w:val="auto"/>
          <w:sz w:val="24"/>
          <w:szCs w:val="24"/>
          <w:highlight w:val="none"/>
        </w:rPr>
        <w:t>PMU</w:t>
      </w:r>
      <w:r>
        <w:rPr>
          <w:rFonts w:hint="eastAsia"/>
          <w:color w:val="auto"/>
          <w:sz w:val="24"/>
          <w:szCs w:val="24"/>
          <w:highlight w:val="none"/>
        </w:rPr>
        <w:t>规约一致性检验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PMU规约一致性检验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Pot04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 xml:space="preserve">GB/T 26862-2011 电力系统同步相量测量装置检测规范 </w:t>
            </w:r>
            <w:r>
              <w:rPr>
                <w:rFonts w:ascii="宋体" w:hAnsi="宋体"/>
                <w:color w:val="auto"/>
                <w:highlight w:val="none"/>
              </w:rPr>
              <w:t>3.6</w:t>
            </w:r>
          </w:p>
          <w:p>
            <w:pPr>
              <w:rPr>
                <w:rFonts w:ascii="宋体" w:hAnsi="宋体"/>
                <w:color w:val="auto"/>
                <w:highlight w:val="none"/>
              </w:rPr>
            </w:pPr>
            <w:r>
              <w:rPr>
                <w:rFonts w:hint="eastAsia" w:ascii="宋体" w:hAnsi="宋体"/>
                <w:color w:val="auto"/>
                <w:highlight w:val="none"/>
              </w:rPr>
              <w:t>GB/T 26865.2-2011 电力系统实时动态监测系统 第2部分：数据传输协议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远动机采用的PMU规约应满足</w:t>
            </w:r>
            <w:r>
              <w:rPr>
                <w:rFonts w:ascii="宋体" w:hAnsi="宋体"/>
                <w:color w:val="auto"/>
                <w:highlight w:val="none"/>
              </w:rPr>
              <w:t>GB/T 26865.2-2011</w:t>
            </w:r>
            <w:r>
              <w:rPr>
                <w:rFonts w:hint="eastAsia" w:ascii="宋体" w:hAnsi="宋体"/>
                <w:color w:val="auto"/>
                <w:highlight w:val="none"/>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按GB/T 26862-2011 3.6节</w:t>
            </w:r>
            <w:r>
              <w:rPr>
                <w:rFonts w:hint="eastAsia" w:ascii="宋体" w:hAnsi="宋体"/>
                <w:color w:val="auto"/>
                <w:highlight w:val="none"/>
              </w:rPr>
              <w:t>规定的测试方法进行测试。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r>
        <w:rPr>
          <w:rFonts w:hint="eastAsia"/>
          <w:color w:val="auto"/>
          <w:sz w:val="24"/>
          <w:szCs w:val="24"/>
          <w:highlight w:val="none"/>
        </w:rPr>
        <w:t>计量上行规约一致性检验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Cs w:val="22"/>
                <w:highlight w:val="none"/>
              </w:rPr>
              <w:t>计量上行</w:t>
            </w:r>
            <w:r>
              <w:rPr>
                <w:rFonts w:hint="eastAsia" w:ascii="宋体" w:hAnsi="宋体"/>
                <w:color w:val="auto"/>
                <w:highlight w:val="none"/>
              </w:rPr>
              <w:t>规约一致性检验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Pot05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11109004-2013 计量自动化终端上行通信规约</w:t>
            </w:r>
          </w:p>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远动机采用的</w:t>
            </w:r>
            <w:r>
              <w:rPr>
                <w:rFonts w:hint="eastAsia" w:ascii="宋体" w:hAnsi="宋体"/>
                <w:color w:val="auto"/>
                <w:szCs w:val="22"/>
                <w:highlight w:val="none"/>
              </w:rPr>
              <w:t>计量上行</w:t>
            </w:r>
            <w:r>
              <w:rPr>
                <w:rFonts w:ascii="宋体" w:hAnsi="宋体"/>
                <w:color w:val="auto"/>
                <w:kern w:val="0"/>
                <w:highlight w:val="none"/>
              </w:rPr>
              <w:t>规约应满足</w:t>
            </w:r>
            <w:r>
              <w:rPr>
                <w:rFonts w:hint="eastAsia" w:ascii="宋体" w:hAnsi="宋体"/>
                <w:color w:val="auto"/>
                <w:highlight w:val="none"/>
              </w:rPr>
              <w:t>Q/CSG 11109004-2013的规定。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按</w:t>
            </w:r>
            <w:r>
              <w:rPr>
                <w:rFonts w:hint="eastAsia" w:ascii="宋体" w:hAnsi="宋体"/>
                <w:color w:val="auto"/>
                <w:highlight w:val="none"/>
              </w:rPr>
              <w:t>Q/CSG 11109004-2013</w:t>
            </w:r>
            <w:r>
              <w:rPr>
                <w:rFonts w:ascii="宋体" w:hAnsi="宋体"/>
                <w:color w:val="auto"/>
                <w:highlight w:val="none"/>
              </w:rPr>
              <w:t>的</w:t>
            </w:r>
            <w:r>
              <w:rPr>
                <w:rFonts w:hint="eastAsia" w:ascii="宋体" w:hAnsi="宋体"/>
                <w:color w:val="auto"/>
                <w:highlight w:val="none"/>
              </w:rPr>
              <w:t>规定逐项对装置进行测试。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pStyle w:val="5"/>
        <w:rPr>
          <w:color w:val="auto"/>
          <w:sz w:val="24"/>
          <w:szCs w:val="24"/>
          <w:highlight w:val="none"/>
        </w:rPr>
      </w:pPr>
      <w:r>
        <w:rPr>
          <w:rFonts w:hint="eastAsia"/>
          <w:color w:val="auto"/>
          <w:sz w:val="24"/>
          <w:szCs w:val="24"/>
          <w:highlight w:val="none"/>
        </w:rPr>
        <w:t>10</w:t>
      </w:r>
      <w:r>
        <w:rPr>
          <w:rFonts w:hint="eastAsia"/>
          <w:color w:val="auto"/>
          <w:sz w:val="24"/>
          <w:szCs w:val="24"/>
          <w:highlight w:val="none"/>
          <w:lang w:val="en-US" w:eastAsia="zh-CN"/>
        </w:rPr>
        <w:t>3</w:t>
      </w:r>
      <w:r>
        <w:rPr>
          <w:rFonts w:hint="eastAsia"/>
          <w:color w:val="auto"/>
          <w:sz w:val="24"/>
          <w:szCs w:val="24"/>
          <w:highlight w:val="none"/>
        </w:rPr>
        <w:t>规约一致性检验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10</w:t>
            </w:r>
            <w:r>
              <w:rPr>
                <w:rFonts w:hint="eastAsia" w:ascii="宋体" w:hAnsi="宋体"/>
                <w:color w:val="auto"/>
                <w:highlight w:val="none"/>
                <w:lang w:val="en-US" w:eastAsia="zh-CN"/>
              </w:rPr>
              <w:t>3</w:t>
            </w:r>
            <w:r>
              <w:rPr>
                <w:rFonts w:hint="eastAsia" w:ascii="宋体" w:hAnsi="宋体"/>
                <w:color w:val="auto"/>
                <w:highlight w:val="none"/>
              </w:rPr>
              <w:t>规约一致性检验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olor w:val="auto"/>
                <w:highlight w:val="none"/>
                <w:lang w:val="en-US" w:eastAsia="zh-CN"/>
              </w:rPr>
            </w:pPr>
            <w:r>
              <w:rPr>
                <w:rFonts w:ascii="宋体" w:hAnsi="宋体"/>
                <w:color w:val="auto"/>
                <w:highlight w:val="none"/>
              </w:rPr>
              <w:t>Pot0</w:t>
            </w:r>
            <w:r>
              <w:rPr>
                <w:rFonts w:hint="eastAsia" w:ascii="宋体" w:hAnsi="宋体"/>
                <w:color w:val="auto"/>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color w:val="auto"/>
                <w:highlight w:val="none"/>
              </w:rPr>
            </w:pPr>
            <w:r>
              <w:rPr>
                <w:rFonts w:hint="eastAsia" w:ascii="宋体" w:hAnsi="宋体"/>
                <w:color w:val="auto"/>
                <w:highlight w:val="none"/>
              </w:rPr>
              <w:t>DL/T 667-1999 远动设备及系统 第5 部分：传输规约 第103 篇：继电保护设备信息接口配套标准</w:t>
            </w:r>
          </w:p>
          <w:p>
            <w:pPr>
              <w:rPr>
                <w:rFonts w:ascii="宋体" w:hAnsi="宋体"/>
                <w:color w:val="auto"/>
                <w:highlight w:val="none"/>
              </w:rPr>
            </w:pPr>
            <w:r>
              <w:rPr>
                <w:rFonts w:hint="eastAsia" w:ascii="宋体" w:hAnsi="宋体"/>
                <w:color w:val="auto"/>
                <w:highlight w:val="none"/>
              </w:rPr>
              <w:t>Q/CSG 1204013-2016 南方电网继电保护信息系统主站-子站以太网103通信规范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ascii="宋体" w:hAnsi="宋体"/>
                <w:color w:val="auto"/>
                <w:kern w:val="0"/>
                <w:highlight w:val="none"/>
              </w:rPr>
              <w:t>远动机采用的</w:t>
            </w:r>
            <w:r>
              <w:rPr>
                <w:rFonts w:hint="eastAsia" w:ascii="宋体" w:hAnsi="宋体"/>
                <w:color w:val="auto"/>
                <w:kern w:val="0"/>
                <w:highlight w:val="none"/>
              </w:rPr>
              <w:t>1</w:t>
            </w:r>
            <w:r>
              <w:rPr>
                <w:rFonts w:ascii="宋体" w:hAnsi="宋体"/>
                <w:color w:val="auto"/>
                <w:kern w:val="0"/>
                <w:highlight w:val="none"/>
              </w:rPr>
              <w:t>0</w:t>
            </w:r>
            <w:r>
              <w:rPr>
                <w:rFonts w:hint="eastAsia" w:ascii="宋体" w:hAnsi="宋体"/>
                <w:color w:val="auto"/>
                <w:kern w:val="0"/>
                <w:highlight w:val="none"/>
                <w:lang w:val="en-US" w:eastAsia="zh-CN"/>
              </w:rPr>
              <w:t>3</w:t>
            </w:r>
            <w:r>
              <w:rPr>
                <w:rFonts w:ascii="宋体" w:hAnsi="宋体"/>
                <w:color w:val="auto"/>
                <w:kern w:val="0"/>
                <w:highlight w:val="none"/>
              </w:rPr>
              <w:t>规约应满足</w:t>
            </w:r>
            <w:r>
              <w:rPr>
                <w:rFonts w:hint="eastAsia" w:ascii="宋体" w:hAnsi="宋体"/>
                <w:color w:val="auto"/>
                <w:highlight w:val="none"/>
              </w:rPr>
              <w:t>DL/T 667-1999和Q/CSG 1204013-2016的规定。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ascii="宋体" w:hAnsi="宋体"/>
                <w:color w:val="auto"/>
                <w:highlight w:val="none"/>
              </w:rPr>
              <w:t>按</w:t>
            </w:r>
            <w:r>
              <w:rPr>
                <w:rFonts w:hint="eastAsia" w:ascii="宋体" w:hAnsi="宋体"/>
                <w:color w:val="auto"/>
                <w:highlight w:val="none"/>
              </w:rPr>
              <w:t>DL/T 667-1999规定的一致性测试方法进行测试。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35" w:name="_Toc49258184"/>
      <w:bookmarkStart w:id="236" w:name="_Toc528273599"/>
      <w:r>
        <w:rPr>
          <w:rFonts w:hint="eastAsia"/>
          <w:color w:val="auto"/>
          <w:sz w:val="24"/>
          <w:szCs w:val="24"/>
          <w:highlight w:val="none"/>
        </w:rPr>
        <w:t>电源影响检验</w:t>
      </w:r>
      <w:bookmarkEnd w:id="235"/>
      <w:bookmarkEnd w:id="23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电源</w:t>
            </w:r>
            <w:r>
              <w:rPr>
                <w:rFonts w:ascii="宋体" w:hAnsi="宋体"/>
                <w:color w:val="auto"/>
                <w:highlight w:val="none"/>
              </w:rPr>
              <w:t>影响</w:t>
            </w:r>
            <w:r>
              <w:rPr>
                <w:rFonts w:hint="eastAsia" w:ascii="宋体" w:hAnsi="宋体"/>
                <w:color w:val="auto"/>
                <w:highlight w:val="none"/>
              </w:rPr>
              <w:t>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Pow</w:t>
            </w:r>
            <w:r>
              <w:rPr>
                <w:rFonts w:hint="eastAsia" w:ascii="宋体" w:hAnsi="宋体"/>
                <w:color w:val="auto"/>
                <w:sz w:val="22"/>
                <w:szCs w:val="22"/>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检查远动机在</w:t>
            </w:r>
            <w:r>
              <w:rPr>
                <w:rFonts w:ascii="宋体" w:hAnsi="宋体"/>
                <w:color w:val="auto"/>
                <w:highlight w:val="none"/>
              </w:rPr>
              <w:t>电源变化下各项功能性能满足指标要求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当直流电源电压在80%～115%额定值范围内变化时，远动机应可靠工作。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远动机在</w:t>
            </w:r>
            <w:r>
              <w:rPr>
                <w:rFonts w:ascii="宋体" w:hAnsi="宋体"/>
                <w:color w:val="auto"/>
                <w:highlight w:val="none"/>
              </w:rPr>
              <w:t>电源变化下各项功能性能满足指标要求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调节直流电源输出值为额定工作电压的80%，远动机各种功能性能符合要求；调节直流电源输出值为额定工作电压的115%，远动机各种功能性能符合要求。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3"/>
        <w:rPr>
          <w:color w:val="auto"/>
          <w:sz w:val="24"/>
          <w:szCs w:val="24"/>
          <w:highlight w:val="none"/>
        </w:rPr>
      </w:pPr>
      <w:bookmarkStart w:id="237" w:name="_Toc528273600"/>
      <w:bookmarkStart w:id="238" w:name="_Toc49258185"/>
      <w:r>
        <w:rPr>
          <w:rFonts w:hint="eastAsia"/>
          <w:color w:val="auto"/>
          <w:sz w:val="24"/>
          <w:szCs w:val="24"/>
          <w:highlight w:val="none"/>
        </w:rPr>
        <w:t>绝缘性能检验</w:t>
      </w:r>
      <w:bookmarkEnd w:id="237"/>
      <w:bookmarkEnd w:id="238"/>
    </w:p>
    <w:p>
      <w:pPr>
        <w:pStyle w:val="5"/>
        <w:rPr>
          <w:color w:val="auto"/>
          <w:sz w:val="24"/>
          <w:szCs w:val="24"/>
          <w:highlight w:val="none"/>
        </w:rPr>
      </w:pPr>
      <w:bookmarkStart w:id="239" w:name="_Toc528273601"/>
      <w:bookmarkStart w:id="240" w:name="_Toc484018989"/>
      <w:r>
        <w:rPr>
          <w:rFonts w:hint="eastAsia"/>
          <w:color w:val="auto"/>
          <w:sz w:val="24"/>
          <w:szCs w:val="24"/>
          <w:highlight w:val="none"/>
        </w:rPr>
        <w:t>绝缘</w:t>
      </w:r>
      <w:r>
        <w:rPr>
          <w:color w:val="auto"/>
          <w:sz w:val="24"/>
          <w:szCs w:val="24"/>
          <w:highlight w:val="none"/>
        </w:rPr>
        <w:t>电阻</w:t>
      </w:r>
      <w:r>
        <w:rPr>
          <w:rFonts w:hint="eastAsia"/>
          <w:color w:val="auto"/>
          <w:sz w:val="24"/>
          <w:szCs w:val="24"/>
          <w:highlight w:val="none"/>
        </w:rPr>
        <w:t>试验</w:t>
      </w:r>
      <w:bookmarkEnd w:id="239"/>
      <w:bookmarkEnd w:id="24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绝缘电阻试验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Saf</w:t>
            </w:r>
            <w:r>
              <w:rPr>
                <w:rFonts w:hint="eastAsia" w:ascii="宋体" w:hAnsi="宋体"/>
                <w:color w:val="auto"/>
                <w:sz w:val="22"/>
                <w:szCs w:val="22"/>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w:t>
            </w:r>
            <w:r>
              <w:rPr>
                <w:rFonts w:ascii="宋体" w:hAnsi="宋体"/>
                <w:color w:val="auto"/>
                <w:highlight w:val="none"/>
              </w:rPr>
              <w:t>装置</w:t>
            </w:r>
            <w:r>
              <w:rPr>
                <w:rFonts w:hint="eastAsia" w:ascii="宋体" w:hAnsi="宋体"/>
                <w:color w:val="auto"/>
                <w:highlight w:val="none"/>
              </w:rPr>
              <w:t>装置各带电的导电电路对地（外壳或外露的非带电金属零件）之间，以及电气上无联系的各带电的导电电路之间，绝缘电阻值是否</w:t>
            </w:r>
            <w:r>
              <w:rPr>
                <w:rFonts w:ascii="宋体" w:hAnsi="宋体"/>
                <w:color w:val="auto"/>
                <w:highlight w:val="none"/>
              </w:rPr>
              <w:t>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在试验的标准大气条件下，装置各带电的导电电路对地（外壳或外露的非带电金属零件）之间，以及电气上无联系的各带电的导电电路之间，按照 7.2.1  的规定对被测装置用开路电压为</w:t>
            </w:r>
            <w:r>
              <w:rPr>
                <w:rFonts w:ascii="宋体" w:hAnsi="宋体"/>
                <w:color w:val="auto"/>
                <w:highlight w:val="none"/>
              </w:rPr>
              <w:t xml:space="preserve"> 500V </w:t>
            </w:r>
            <w:r>
              <w:rPr>
                <w:rFonts w:hint="eastAsia" w:ascii="宋体" w:hAnsi="宋体"/>
                <w:color w:val="auto"/>
                <w:highlight w:val="none"/>
              </w:rPr>
              <w:t>的兆欧表测量绝缘电阻</w:t>
            </w:r>
            <w:r>
              <w:rPr>
                <w:rFonts w:ascii="宋体" w:hAnsi="宋体"/>
                <w:color w:val="auto"/>
                <w:highlight w:val="none"/>
              </w:rPr>
              <w:t xml:space="preserve">,  </w:t>
            </w:r>
            <w:r>
              <w:rPr>
                <w:rFonts w:hint="eastAsia" w:ascii="宋体" w:hAnsi="宋体"/>
                <w:color w:val="auto"/>
                <w:highlight w:val="none"/>
              </w:rPr>
              <w:t>测量时间不小于</w:t>
            </w:r>
            <w:r>
              <w:rPr>
                <w:rFonts w:ascii="宋体" w:hAnsi="宋体"/>
                <w:color w:val="auto"/>
                <w:highlight w:val="none"/>
              </w:rPr>
              <w:t xml:space="preserve"> 5s</w:t>
            </w:r>
            <w:r>
              <w:rPr>
                <w:rFonts w:hint="eastAsia" w:ascii="宋体" w:hAnsi="宋体"/>
                <w:color w:val="auto"/>
                <w:highlight w:val="none"/>
              </w:rPr>
              <w:t>，其绝缘电阻值应≥</w:t>
            </w:r>
            <w:r>
              <w:rPr>
                <w:rFonts w:ascii="宋体" w:hAnsi="宋体"/>
                <w:color w:val="auto"/>
                <w:highlight w:val="none"/>
              </w:rPr>
              <w:t>5M</w:t>
            </w:r>
            <w:r>
              <w:rPr>
                <w:color w:val="auto"/>
                <w:highlight w:val="none"/>
              </w:rPr>
              <w:t>Ω</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远动机绝缘电阻</w:t>
            </w:r>
            <w:r>
              <w:rPr>
                <w:rFonts w:ascii="宋体" w:hAnsi="宋体"/>
                <w:color w:val="auto"/>
                <w:highlight w:val="none"/>
              </w:rPr>
              <w:t>值满足指标要求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在试验整机对地绝缘电阻时，应拔出装有半导体器件（光耦器件除外）的印制板。</w:t>
            </w:r>
          </w:p>
          <w:p>
            <w:pPr>
              <w:numPr>
                <w:ilvl w:val="0"/>
                <w:numId w:val="51"/>
              </w:numPr>
              <w:rPr>
                <w:color w:val="auto"/>
                <w:kern w:val="21"/>
                <w:highlight w:val="none"/>
              </w:rPr>
            </w:pPr>
            <w:r>
              <w:rPr>
                <w:color w:val="auto"/>
                <w:kern w:val="21"/>
                <w:highlight w:val="none"/>
              </w:rPr>
              <w:t>试验</w:t>
            </w:r>
            <w:r>
              <w:rPr>
                <w:color w:val="auto"/>
                <w:szCs w:val="21"/>
                <w:highlight w:val="none"/>
              </w:rPr>
              <w:t>电压</w:t>
            </w:r>
            <w:r>
              <w:rPr>
                <w:color w:val="auto"/>
                <w:kern w:val="21"/>
                <w:highlight w:val="none"/>
              </w:rPr>
              <w:t>：开路电压为500V。</w:t>
            </w:r>
          </w:p>
          <w:p>
            <w:pPr>
              <w:numPr>
                <w:ilvl w:val="0"/>
                <w:numId w:val="51"/>
              </w:numPr>
              <w:rPr>
                <w:color w:val="auto"/>
                <w:kern w:val="21"/>
                <w:highlight w:val="none"/>
              </w:rPr>
            </w:pPr>
            <w:r>
              <w:rPr>
                <w:color w:val="auto"/>
                <w:kern w:val="21"/>
                <w:highlight w:val="none"/>
              </w:rPr>
              <w:t>试验</w:t>
            </w:r>
            <w:r>
              <w:rPr>
                <w:color w:val="auto"/>
                <w:szCs w:val="21"/>
                <w:highlight w:val="none"/>
              </w:rPr>
              <w:t>部位</w:t>
            </w:r>
            <w:r>
              <w:rPr>
                <w:color w:val="auto"/>
                <w:kern w:val="21"/>
                <w:highlight w:val="none"/>
              </w:rPr>
              <w:t>：</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a）各带电的导电电路对地之间；</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b）电气上无联系的各带电的导电电路之间</w:t>
            </w:r>
            <w:r>
              <w:rPr>
                <w:rFonts w:hint="eastAsia" w:ascii="Times New Roman"/>
                <w:color w:val="auto"/>
                <w:kern w:val="21"/>
                <w:highlight w:val="none"/>
              </w:rPr>
              <w:t>（除通信回路）</w:t>
            </w:r>
            <w:r>
              <w:rPr>
                <w:rFonts w:ascii="Times New Roman"/>
                <w:color w:val="auto"/>
                <w:kern w:val="21"/>
                <w:highlight w:val="none"/>
              </w:rPr>
              <w:t>；</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hint="eastAsia" w:ascii="Times New Roman"/>
                <w:color w:val="auto"/>
                <w:kern w:val="21"/>
                <w:highlight w:val="none"/>
              </w:rPr>
              <w:t>c</w:t>
            </w:r>
            <w:r>
              <w:rPr>
                <w:rFonts w:ascii="Times New Roman"/>
                <w:color w:val="auto"/>
                <w:kern w:val="21"/>
                <w:highlight w:val="none"/>
              </w:rPr>
              <w:t>）施加电压时间不小于5s。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bookmarkStart w:id="241" w:name="_Toc484018990"/>
    </w:p>
    <w:p>
      <w:pPr>
        <w:pStyle w:val="5"/>
        <w:rPr>
          <w:color w:val="auto"/>
          <w:sz w:val="24"/>
          <w:szCs w:val="24"/>
          <w:highlight w:val="none"/>
        </w:rPr>
      </w:pPr>
      <w:bookmarkStart w:id="242" w:name="_Toc528273602"/>
      <w:r>
        <w:rPr>
          <w:rFonts w:hint="eastAsia"/>
          <w:color w:val="auto"/>
          <w:sz w:val="24"/>
          <w:szCs w:val="24"/>
          <w:highlight w:val="none"/>
        </w:rPr>
        <w:t>介质</w:t>
      </w:r>
      <w:r>
        <w:rPr>
          <w:color w:val="auto"/>
          <w:sz w:val="24"/>
          <w:szCs w:val="24"/>
          <w:highlight w:val="none"/>
        </w:rPr>
        <w:t>强度</w:t>
      </w:r>
      <w:r>
        <w:rPr>
          <w:rFonts w:hint="eastAsia"/>
          <w:color w:val="auto"/>
          <w:sz w:val="24"/>
          <w:szCs w:val="24"/>
          <w:highlight w:val="none"/>
        </w:rPr>
        <w:t>试验</w:t>
      </w:r>
      <w:bookmarkEnd w:id="241"/>
      <w:bookmarkEnd w:id="24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介质强度试验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Saf02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w:t>
            </w:r>
            <w:r>
              <w:rPr>
                <w:rFonts w:ascii="宋体" w:hAnsi="宋体"/>
                <w:color w:val="auto"/>
                <w:highlight w:val="none"/>
              </w:rPr>
              <w:t>装置</w:t>
            </w:r>
            <w:r>
              <w:rPr>
                <w:rFonts w:hint="eastAsia" w:ascii="宋体" w:hAnsi="宋体"/>
                <w:color w:val="auto"/>
                <w:highlight w:val="none"/>
              </w:rPr>
              <w:t>装置介质</w:t>
            </w:r>
            <w:r>
              <w:rPr>
                <w:rFonts w:ascii="宋体" w:hAnsi="宋体"/>
                <w:color w:val="auto"/>
                <w:highlight w:val="none"/>
              </w:rPr>
              <w:t>强度试验满足指标</w:t>
            </w:r>
            <w:r>
              <w:rPr>
                <w:rFonts w:hint="eastAsia" w:ascii="宋体" w:hAnsi="宋体"/>
                <w:color w:val="auto"/>
                <w:highlight w:val="none"/>
              </w:rPr>
              <w:t>要求</w:t>
            </w:r>
            <w:r>
              <w:rPr>
                <w:rFonts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在正常试验的大气条件下，试验期间，装置不应发生击穿或闪络现象，装置元器件应无损坏。试验后，装置应满足原技术要求。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远动机介质强度</w:t>
            </w:r>
            <w:r>
              <w:rPr>
                <w:rFonts w:ascii="宋体" w:hAnsi="宋体"/>
                <w:color w:val="auto"/>
                <w:highlight w:val="none"/>
              </w:rPr>
              <w:t>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对额定电压为</w:t>
            </w:r>
            <w:r>
              <w:rPr>
                <w:rFonts w:ascii="宋体" w:hAnsi="宋体"/>
                <w:color w:val="auto"/>
                <w:highlight w:val="none"/>
              </w:rPr>
              <w:t xml:space="preserve"> 60V </w:t>
            </w:r>
            <w:r>
              <w:rPr>
                <w:rFonts w:hint="eastAsia" w:ascii="宋体" w:hAnsi="宋体"/>
                <w:color w:val="auto"/>
                <w:highlight w:val="none"/>
              </w:rPr>
              <w:t>以下的半导体器件（光耦器件除外），在整机介质强度试验时应采取防护措施。</w:t>
            </w:r>
          </w:p>
          <w:p>
            <w:pPr>
              <w:numPr>
                <w:ilvl w:val="0"/>
                <w:numId w:val="52"/>
              </w:numPr>
              <w:rPr>
                <w:color w:val="auto"/>
                <w:kern w:val="21"/>
                <w:highlight w:val="none"/>
              </w:rPr>
            </w:pPr>
            <w:r>
              <w:rPr>
                <w:color w:val="auto"/>
                <w:kern w:val="21"/>
                <w:highlight w:val="none"/>
              </w:rPr>
              <w:t>试验电压：</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a）0.5kV、50Hz（额定绝缘电压≤63V时）；</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b）2.0kV、50Hz（</w:t>
            </w:r>
            <w:r>
              <w:rPr>
                <w:rFonts w:hint="eastAsia" w:ascii="Times New Roman"/>
                <w:color w:val="auto"/>
                <w:kern w:val="21"/>
                <w:highlight w:val="none"/>
              </w:rPr>
              <w:t>63V＜</w:t>
            </w:r>
            <w:r>
              <w:rPr>
                <w:rFonts w:ascii="Times New Roman"/>
                <w:color w:val="auto"/>
                <w:kern w:val="21"/>
                <w:highlight w:val="none"/>
              </w:rPr>
              <w:t>额定绝缘电压≤</w:t>
            </w:r>
            <w:r>
              <w:rPr>
                <w:rFonts w:hint="eastAsia" w:ascii="Times New Roman"/>
                <w:color w:val="auto"/>
                <w:kern w:val="21"/>
                <w:highlight w:val="none"/>
              </w:rPr>
              <w:t>250</w:t>
            </w:r>
            <w:r>
              <w:rPr>
                <w:rFonts w:ascii="Times New Roman"/>
                <w:color w:val="auto"/>
                <w:kern w:val="21"/>
                <w:highlight w:val="none"/>
              </w:rPr>
              <w:t>V时）；</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c）1.0kV、50Hz（同一组触点之间）。</w:t>
            </w:r>
          </w:p>
          <w:p>
            <w:pPr>
              <w:numPr>
                <w:ilvl w:val="0"/>
                <w:numId w:val="52"/>
              </w:numPr>
              <w:rPr>
                <w:color w:val="auto"/>
                <w:kern w:val="21"/>
                <w:highlight w:val="none"/>
              </w:rPr>
            </w:pPr>
            <w:r>
              <w:rPr>
                <w:color w:val="auto"/>
                <w:kern w:val="21"/>
                <w:highlight w:val="none"/>
              </w:rPr>
              <w:t>试验时间：1min。</w:t>
            </w:r>
          </w:p>
          <w:p>
            <w:pPr>
              <w:numPr>
                <w:ilvl w:val="0"/>
                <w:numId w:val="52"/>
              </w:numPr>
              <w:rPr>
                <w:color w:val="auto"/>
                <w:kern w:val="21"/>
                <w:highlight w:val="none"/>
              </w:rPr>
            </w:pPr>
            <w:r>
              <w:rPr>
                <w:color w:val="auto"/>
                <w:kern w:val="21"/>
                <w:highlight w:val="none"/>
              </w:rPr>
              <w:t>试验部位：</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a）各带电的导电电路对地之间；</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b）电气上无联系的各带电的导电电路之间</w:t>
            </w:r>
            <w:r>
              <w:rPr>
                <w:rFonts w:hint="eastAsia" w:ascii="Times New Roman"/>
                <w:color w:val="auto"/>
                <w:kern w:val="21"/>
                <w:highlight w:val="none"/>
              </w:rPr>
              <w:t>（除通信回路）</w:t>
            </w:r>
            <w:r>
              <w:rPr>
                <w:rFonts w:ascii="Times New Roman"/>
                <w:color w:val="auto"/>
                <w:kern w:val="21"/>
                <w:highlight w:val="none"/>
              </w:rPr>
              <w:t>；</w:t>
            </w:r>
          </w:p>
          <w:p>
            <w:pPr>
              <w:pStyle w:val="93"/>
              <w:widowControl w:val="0"/>
              <w:topLinePunct/>
              <w:spacing w:line="300" w:lineRule="auto"/>
              <w:ind w:left="720" w:firstLine="75" w:firstLineChars="36"/>
              <w:textAlignment w:val="center"/>
              <w:rPr>
                <w:rFonts w:ascii="Times New Roman"/>
                <w:color w:val="auto"/>
                <w:kern w:val="21"/>
                <w:highlight w:val="none"/>
              </w:rPr>
            </w:pPr>
            <w:r>
              <w:rPr>
                <w:rFonts w:ascii="Times New Roman"/>
                <w:color w:val="auto"/>
                <w:kern w:val="21"/>
                <w:highlight w:val="none"/>
              </w:rPr>
              <w:t>c）同一组触点之间</w:t>
            </w:r>
            <w:r>
              <w:rPr>
                <w:rFonts w:hint="eastAsia" w:ascii="Times New Roman"/>
                <w:color w:val="auto"/>
                <w:kern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bookmarkStart w:id="243" w:name="_Toc484018991"/>
    </w:p>
    <w:p>
      <w:pPr>
        <w:pStyle w:val="5"/>
        <w:rPr>
          <w:color w:val="auto"/>
          <w:sz w:val="24"/>
          <w:szCs w:val="24"/>
          <w:highlight w:val="none"/>
        </w:rPr>
      </w:pPr>
      <w:bookmarkStart w:id="244" w:name="_Toc528273603"/>
      <w:r>
        <w:rPr>
          <w:rFonts w:hint="eastAsia"/>
          <w:color w:val="auto"/>
          <w:sz w:val="24"/>
          <w:szCs w:val="24"/>
          <w:highlight w:val="none"/>
        </w:rPr>
        <w:t>冲击电压试验</w:t>
      </w:r>
      <w:bookmarkEnd w:id="243"/>
      <w:bookmarkEnd w:id="24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冲击电压试验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Saf03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检查远动机冲击电压</w:t>
            </w:r>
            <w:r>
              <w:rPr>
                <w:rFonts w:ascii="宋体" w:hAnsi="宋体"/>
                <w:color w:val="auto"/>
                <w:highlight w:val="none"/>
              </w:rPr>
              <w:t>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在正常试验的大气条件下，试验期间不应出现破坏性放电（火花、闪络或击穿），装置元器件应无损坏。试验后，装置应满足原技术要求。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远动机冲击电压</w:t>
            </w:r>
            <w:r>
              <w:rPr>
                <w:rFonts w:ascii="宋体" w:hAnsi="宋体"/>
                <w:color w:val="auto"/>
                <w:highlight w:val="none"/>
              </w:rPr>
              <w:t>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numPr>
                <w:ilvl w:val="0"/>
                <w:numId w:val="53"/>
              </w:numPr>
              <w:rPr>
                <w:color w:val="auto"/>
                <w:kern w:val="21"/>
                <w:highlight w:val="none"/>
              </w:rPr>
            </w:pPr>
            <w:r>
              <w:rPr>
                <w:color w:val="auto"/>
                <w:kern w:val="21"/>
                <w:highlight w:val="none"/>
              </w:rPr>
              <w:t>试验电压：</w:t>
            </w:r>
          </w:p>
          <w:p>
            <w:pPr>
              <w:pStyle w:val="93"/>
              <w:widowControl w:val="0"/>
              <w:topLinePunct/>
              <w:spacing w:line="300" w:lineRule="auto"/>
              <w:ind w:left="300" w:firstLine="354" w:firstLineChars="169"/>
              <w:textAlignment w:val="center"/>
              <w:rPr>
                <w:rFonts w:ascii="Times New Roman"/>
                <w:color w:val="auto"/>
                <w:kern w:val="21"/>
                <w:highlight w:val="none"/>
              </w:rPr>
            </w:pPr>
            <w:r>
              <w:rPr>
                <w:rFonts w:ascii="Times New Roman"/>
                <w:color w:val="auto"/>
                <w:kern w:val="21"/>
                <w:highlight w:val="none"/>
              </w:rPr>
              <w:t>a）1.0kV（额定绝缘电压≤63V时）；</w:t>
            </w:r>
          </w:p>
          <w:p>
            <w:pPr>
              <w:pStyle w:val="93"/>
              <w:widowControl w:val="0"/>
              <w:topLinePunct/>
              <w:spacing w:line="300" w:lineRule="auto"/>
              <w:ind w:left="300" w:firstLine="354" w:firstLineChars="169"/>
              <w:textAlignment w:val="center"/>
              <w:rPr>
                <w:rFonts w:ascii="Times New Roman"/>
                <w:color w:val="auto"/>
                <w:kern w:val="21"/>
                <w:highlight w:val="none"/>
              </w:rPr>
            </w:pPr>
            <w:r>
              <w:rPr>
                <w:rFonts w:ascii="Times New Roman"/>
                <w:color w:val="auto"/>
                <w:kern w:val="21"/>
                <w:highlight w:val="none"/>
              </w:rPr>
              <w:t>b）5.0kV（</w:t>
            </w:r>
            <w:r>
              <w:rPr>
                <w:rFonts w:hint="eastAsia" w:ascii="Times New Roman"/>
                <w:color w:val="auto"/>
                <w:kern w:val="21"/>
                <w:highlight w:val="none"/>
              </w:rPr>
              <w:t>63V</w:t>
            </w:r>
            <w:r>
              <w:rPr>
                <w:rFonts w:hint="eastAsia" w:hAnsi="宋体"/>
                <w:color w:val="auto"/>
                <w:kern w:val="21"/>
                <w:highlight w:val="none"/>
              </w:rPr>
              <w:t>＜</w:t>
            </w:r>
            <w:r>
              <w:rPr>
                <w:rFonts w:ascii="Times New Roman"/>
                <w:color w:val="auto"/>
                <w:kern w:val="21"/>
                <w:highlight w:val="none"/>
              </w:rPr>
              <w:t>额定绝缘电压≤</w:t>
            </w:r>
            <w:r>
              <w:rPr>
                <w:rFonts w:hint="eastAsia" w:ascii="Times New Roman"/>
                <w:color w:val="auto"/>
                <w:kern w:val="21"/>
                <w:highlight w:val="none"/>
              </w:rPr>
              <w:t>250</w:t>
            </w:r>
            <w:r>
              <w:rPr>
                <w:rFonts w:ascii="Times New Roman"/>
                <w:color w:val="auto"/>
                <w:kern w:val="21"/>
                <w:highlight w:val="none"/>
              </w:rPr>
              <w:t>V时）。</w:t>
            </w:r>
          </w:p>
          <w:p>
            <w:pPr>
              <w:numPr>
                <w:ilvl w:val="0"/>
                <w:numId w:val="53"/>
              </w:numPr>
              <w:rPr>
                <w:color w:val="auto"/>
                <w:kern w:val="21"/>
                <w:highlight w:val="none"/>
              </w:rPr>
            </w:pPr>
            <w:r>
              <w:rPr>
                <w:color w:val="auto"/>
                <w:kern w:val="21"/>
                <w:highlight w:val="none"/>
              </w:rPr>
              <w:t>试验部位：</w:t>
            </w:r>
          </w:p>
          <w:p>
            <w:pPr>
              <w:pStyle w:val="93"/>
              <w:widowControl w:val="0"/>
              <w:topLinePunct/>
              <w:spacing w:line="300" w:lineRule="auto"/>
              <w:ind w:left="300" w:firstLine="354" w:firstLineChars="169"/>
              <w:textAlignment w:val="center"/>
              <w:rPr>
                <w:rFonts w:ascii="Times New Roman"/>
                <w:color w:val="auto"/>
                <w:kern w:val="21"/>
                <w:highlight w:val="none"/>
              </w:rPr>
            </w:pPr>
            <w:r>
              <w:rPr>
                <w:rFonts w:ascii="Times New Roman"/>
                <w:color w:val="auto"/>
                <w:kern w:val="21"/>
                <w:highlight w:val="none"/>
              </w:rPr>
              <w:t>a）各带电的导电电路对地之间；</w:t>
            </w:r>
          </w:p>
          <w:p>
            <w:pPr>
              <w:pStyle w:val="93"/>
              <w:widowControl w:val="0"/>
              <w:topLinePunct/>
              <w:spacing w:line="300" w:lineRule="auto"/>
              <w:ind w:left="300" w:firstLine="354" w:firstLineChars="169"/>
              <w:textAlignment w:val="center"/>
              <w:rPr>
                <w:rFonts w:ascii="Times New Roman"/>
                <w:color w:val="auto"/>
                <w:kern w:val="21"/>
                <w:highlight w:val="none"/>
              </w:rPr>
            </w:pPr>
            <w:r>
              <w:rPr>
                <w:rFonts w:ascii="Times New Roman"/>
                <w:color w:val="auto"/>
                <w:kern w:val="21"/>
                <w:highlight w:val="none"/>
              </w:rPr>
              <w:t>b）电气上无联系的各带电的导电电路之间</w:t>
            </w:r>
            <w:r>
              <w:rPr>
                <w:rFonts w:hint="eastAsia" w:ascii="Times New Roman"/>
                <w:color w:val="auto"/>
                <w:kern w:val="21"/>
                <w:highlight w:val="none"/>
              </w:rPr>
              <w:t>（除通信回路）</w:t>
            </w:r>
            <w:r>
              <w:rPr>
                <w:rFonts w:ascii="Times New Roman"/>
                <w:color w:val="auto"/>
                <w:kern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b/>
          <w:color w:val="auto"/>
          <w:sz w:val="28"/>
          <w:szCs w:val="28"/>
          <w:highlight w:val="none"/>
        </w:rPr>
      </w:pPr>
    </w:p>
    <w:p>
      <w:pPr>
        <w:pStyle w:val="3"/>
        <w:rPr>
          <w:color w:val="auto"/>
          <w:sz w:val="24"/>
          <w:szCs w:val="24"/>
          <w:highlight w:val="none"/>
        </w:rPr>
      </w:pPr>
      <w:bookmarkStart w:id="245" w:name="_Toc49258186"/>
      <w:bookmarkStart w:id="246" w:name="_Toc528273604"/>
      <w:bookmarkStart w:id="247" w:name="_Toc484018973"/>
      <w:r>
        <w:rPr>
          <w:rFonts w:hint="eastAsia"/>
          <w:color w:val="auto"/>
          <w:sz w:val="24"/>
          <w:szCs w:val="24"/>
          <w:highlight w:val="none"/>
        </w:rPr>
        <w:t>气候环境试验</w:t>
      </w:r>
      <w:bookmarkEnd w:id="245"/>
      <w:bookmarkEnd w:id="246"/>
      <w:bookmarkEnd w:id="247"/>
    </w:p>
    <w:p>
      <w:pPr>
        <w:pStyle w:val="5"/>
        <w:rPr>
          <w:color w:val="auto"/>
          <w:sz w:val="24"/>
          <w:szCs w:val="24"/>
          <w:highlight w:val="none"/>
        </w:rPr>
      </w:pPr>
      <w:bookmarkStart w:id="248" w:name="_Toc484018974"/>
      <w:bookmarkStart w:id="249" w:name="_Toc528273605"/>
      <w:r>
        <w:rPr>
          <w:color w:val="auto"/>
          <w:sz w:val="24"/>
          <w:szCs w:val="24"/>
          <w:highlight w:val="none"/>
        </w:rPr>
        <w:t>高温运行</w:t>
      </w:r>
      <w:r>
        <w:rPr>
          <w:rFonts w:hint="eastAsia"/>
          <w:color w:val="auto"/>
          <w:sz w:val="24"/>
          <w:szCs w:val="24"/>
          <w:highlight w:val="none"/>
        </w:rPr>
        <w:t>试验</w:t>
      </w:r>
      <w:bookmarkEnd w:id="248"/>
      <w:bookmarkEnd w:id="24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高温运行试验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Clm</w:t>
            </w:r>
            <w:r>
              <w:rPr>
                <w:rFonts w:hint="eastAsia" w:ascii="宋体" w:hAnsi="宋体"/>
                <w:color w:val="auto"/>
                <w:sz w:val="22"/>
                <w:szCs w:val="22"/>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检查远动机在高温</w:t>
            </w:r>
            <w:r>
              <w:rPr>
                <w:rFonts w:ascii="宋体" w:hAnsi="宋体"/>
                <w:color w:val="auto"/>
                <w:highlight w:val="none"/>
              </w:rPr>
              <w:t>环境下</w:t>
            </w:r>
            <w:r>
              <w:rPr>
                <w:rFonts w:hint="eastAsia" w:ascii="宋体" w:hAnsi="宋体"/>
                <w:color w:val="auto"/>
                <w:highlight w:val="none"/>
              </w:rPr>
              <w:t>各种功能性能应符合要求；试验环境复正常并稳定后进行外观检查。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ascii="宋体" w:hAnsi="宋体"/>
                <w:color w:val="auto"/>
                <w:highlight w:val="none"/>
              </w:rPr>
              <w:t>环境温度为55</w:t>
            </w:r>
            <w:r>
              <w:rPr>
                <w:rFonts w:hint="eastAsia" w:ascii="宋体" w:hAnsi="宋体"/>
                <w:color w:val="auto"/>
                <w:highlight w:val="none"/>
              </w:rPr>
              <w:t>℃</w:t>
            </w:r>
            <w:r>
              <w:rPr>
                <w:rFonts w:ascii="宋体" w:hAnsi="宋体"/>
                <w:color w:val="auto"/>
                <w:highlight w:val="none"/>
              </w:rPr>
              <w:t>，装置应可靠工作。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远动机功能性能</w:t>
            </w:r>
            <w:r>
              <w:rPr>
                <w:rFonts w:ascii="宋体" w:hAnsi="宋体"/>
                <w:color w:val="auto"/>
                <w:highlight w:val="none"/>
              </w:rPr>
              <w:t>正常</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color w:val="auto"/>
                <w:highlight w:val="none"/>
              </w:rPr>
            </w:pPr>
            <w:r>
              <w:rPr>
                <w:rFonts w:hint="eastAsia"/>
                <w:color w:val="auto"/>
                <w:highlight w:val="none"/>
              </w:rPr>
              <w:t>高温室的温度允许偏差范围为±2℃，相对湿度不超过50% (＋35℃) ，设备在高温室内以不超过1℃/min的变化率升温，待温度达到＋55℃并稳定后开始计时，保温2h，再使设备连续通电2h（交、直流电压均为额定值），检查设备的各项功能应正常。然后将设备断电，以不超过1℃/min的变化率降温，待高温室内温度恢复到正常温度并稳定后，将设备取出高温室进行外观检查和功能性能检查。试验程序按GB 2423.2-2001的规定进行。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bookmarkStart w:id="250" w:name="_Toc484018975"/>
    </w:p>
    <w:p>
      <w:pPr>
        <w:pStyle w:val="5"/>
        <w:rPr>
          <w:color w:val="auto"/>
          <w:sz w:val="24"/>
          <w:szCs w:val="24"/>
          <w:highlight w:val="none"/>
        </w:rPr>
      </w:pPr>
      <w:bookmarkStart w:id="251" w:name="_Toc528273606"/>
      <w:r>
        <w:rPr>
          <w:rFonts w:hint="eastAsia"/>
          <w:color w:val="auto"/>
          <w:sz w:val="24"/>
          <w:szCs w:val="24"/>
          <w:highlight w:val="none"/>
        </w:rPr>
        <w:t>低</w:t>
      </w:r>
      <w:r>
        <w:rPr>
          <w:color w:val="auto"/>
          <w:sz w:val="24"/>
          <w:szCs w:val="24"/>
          <w:highlight w:val="none"/>
        </w:rPr>
        <w:t>温运行试验</w:t>
      </w:r>
      <w:bookmarkEnd w:id="250"/>
      <w:bookmarkEnd w:id="25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低温运行试验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Clm</w:t>
            </w:r>
            <w:r>
              <w:rPr>
                <w:rFonts w:hint="eastAsia" w:ascii="宋体" w:hAnsi="宋体"/>
                <w:color w:val="auto"/>
                <w:sz w:val="22"/>
                <w:szCs w:val="22"/>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检查远动机在低温</w:t>
            </w:r>
            <w:r>
              <w:rPr>
                <w:rFonts w:ascii="宋体" w:hAnsi="宋体"/>
                <w:color w:val="auto"/>
                <w:highlight w:val="none"/>
              </w:rPr>
              <w:t>环境下</w:t>
            </w:r>
            <w:r>
              <w:rPr>
                <w:rFonts w:hint="eastAsia" w:ascii="宋体" w:hAnsi="宋体"/>
                <w:color w:val="auto"/>
                <w:highlight w:val="none"/>
              </w:rPr>
              <w:t>各种功能性能应符合要求；试验环境复正常并稳定后进行外观检查。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ascii="宋体" w:hAnsi="宋体"/>
                <w:color w:val="auto"/>
                <w:highlight w:val="none"/>
              </w:rPr>
              <w:t>环境温度为</w:t>
            </w:r>
            <w:r>
              <w:rPr>
                <w:rFonts w:hint="eastAsia" w:ascii="宋体" w:hAnsi="宋体"/>
                <w:color w:val="auto"/>
                <w:highlight w:val="none"/>
              </w:rPr>
              <w:t>-25℃</w:t>
            </w:r>
            <w:r>
              <w:rPr>
                <w:rFonts w:ascii="宋体" w:hAnsi="宋体"/>
                <w:color w:val="auto"/>
                <w:highlight w:val="none"/>
              </w:rPr>
              <w:t>，装置应可靠工作。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远动机功能性能</w:t>
            </w:r>
            <w:r>
              <w:rPr>
                <w:rFonts w:ascii="宋体" w:hAnsi="宋体"/>
                <w:color w:val="auto"/>
                <w:highlight w:val="none"/>
              </w:rPr>
              <w:t>正常</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color w:val="auto"/>
                <w:highlight w:val="none"/>
              </w:rPr>
            </w:pPr>
            <w:r>
              <w:rPr>
                <w:rFonts w:hint="eastAsia"/>
                <w:color w:val="auto"/>
                <w:highlight w:val="none"/>
              </w:rPr>
              <w:t>低温室的温度允许偏差范围为±2℃，设备在低温室内各表面与相应室内壁之间的最小距离不小于150mm。低温室以不超过1℃/min的变化率降温，待温度达到－25℃并稳定后开始计时，保温2h，再使设备连续通电2h（交、直流电压均为额定值），检查设备的各项功能应正常。然后将设备断电，以不超过1℃/min的变化率升温，待低温室内温度恢复到正常温度并稳定后，将设备取出低温室进行外观检查和功能性能检查。试验程序按GB 2423.1-2001的规定进行。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p>
    <w:p>
      <w:pPr>
        <w:pStyle w:val="5"/>
        <w:rPr>
          <w:color w:val="auto"/>
          <w:sz w:val="24"/>
          <w:szCs w:val="24"/>
          <w:highlight w:val="none"/>
        </w:rPr>
      </w:pPr>
      <w:bookmarkStart w:id="252" w:name="_Toc484018976"/>
      <w:bookmarkStart w:id="253" w:name="_Toc528273607"/>
      <w:r>
        <w:rPr>
          <w:rFonts w:hint="eastAsia"/>
          <w:color w:val="auto"/>
          <w:sz w:val="24"/>
          <w:szCs w:val="24"/>
          <w:highlight w:val="none"/>
        </w:rPr>
        <w:t>湿热试验</w:t>
      </w:r>
      <w:bookmarkEnd w:id="252"/>
      <w:bookmarkEnd w:id="25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湿热试验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Clm</w:t>
            </w:r>
            <w:r>
              <w:rPr>
                <w:rFonts w:hint="eastAsia" w:ascii="宋体" w:hAnsi="宋体"/>
                <w:color w:val="auto"/>
                <w:sz w:val="22"/>
                <w:szCs w:val="22"/>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kern w:val="21"/>
                <w:highlight w:val="none"/>
              </w:rPr>
              <w:t>检查远动机</w:t>
            </w:r>
            <w:r>
              <w:rPr>
                <w:rFonts w:ascii="宋体" w:hAnsi="宋体"/>
                <w:color w:val="auto"/>
                <w:kern w:val="21"/>
                <w:highlight w:val="none"/>
              </w:rPr>
              <w:t>在湿热试验</w:t>
            </w:r>
            <w:r>
              <w:rPr>
                <w:rFonts w:hint="eastAsia" w:ascii="宋体" w:hAnsi="宋体"/>
                <w:color w:val="auto"/>
                <w:kern w:val="21"/>
                <w:highlight w:val="none"/>
              </w:rPr>
              <w:t>后</w:t>
            </w:r>
            <w:r>
              <w:rPr>
                <w:rFonts w:ascii="宋体" w:hAnsi="宋体"/>
                <w:color w:val="auto"/>
                <w:kern w:val="21"/>
                <w:highlight w:val="none"/>
              </w:rPr>
              <w:t>，绝缘电阻值满足标准要求。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满足测试要求</w:t>
            </w:r>
            <w:r>
              <w:rPr>
                <w:rFonts w:hint="eastAsia" w:ascii="宋体" w:hAnsi="宋体"/>
                <w:color w:val="auto"/>
                <w:kern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kern w:val="21"/>
                <w:highlight w:val="none"/>
              </w:rPr>
            </w:pPr>
            <w:r>
              <w:rPr>
                <w:rFonts w:hint="eastAsia" w:ascii="宋体" w:hAnsi="宋体"/>
                <w:color w:val="auto"/>
                <w:kern w:val="21"/>
                <w:highlight w:val="none"/>
              </w:rPr>
              <w:t xml:space="preserve">试验室的温度允许偏差范围为±2℃，相对湿度允许偏差范围为±2%，设备各表面与相应的室内壁之间最小距离不小于150mm，凝结水不得滴落到试验样品上，试验室以不超过1℃/min的变化率升温，待温度达到＋40℃并稳定后再加湿到90%～95%范围内，保持48h，在试验过程最后1h～2h内，按3.7.1的规定测量绝缘电阻，测量时间不小于5s。 </w:t>
            </w:r>
          </w:p>
          <w:p>
            <w:pPr>
              <w:rPr>
                <w:rFonts w:ascii="宋体" w:hAnsi="宋体"/>
                <w:color w:val="auto"/>
                <w:highlight w:val="none"/>
              </w:rPr>
            </w:pPr>
            <w:r>
              <w:rPr>
                <w:rFonts w:hint="eastAsia" w:ascii="宋体" w:hAnsi="宋体"/>
                <w:color w:val="auto"/>
                <w:kern w:val="21"/>
                <w:highlight w:val="none"/>
              </w:rPr>
              <w:t>试验结束后，先把试验室内的相对湿度在0.5 h内降到75%±3%，然后在0.5 h内将试验室内温度恢复到正常温度并稳定后，将设备取出试验室进行外观检查和功能性能检查。试验程序按GB 2423.3-2006的规定进行。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pStyle w:val="5"/>
        <w:rPr>
          <w:color w:val="auto"/>
          <w:sz w:val="24"/>
          <w:szCs w:val="24"/>
          <w:highlight w:val="none"/>
        </w:rPr>
      </w:pPr>
      <w:r>
        <w:rPr>
          <w:rFonts w:hint="eastAsia"/>
          <w:color w:val="auto"/>
          <w:sz w:val="24"/>
          <w:szCs w:val="24"/>
          <w:highlight w:val="none"/>
        </w:rPr>
        <w:t>环境温度极端范围极限值检验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环境温度极端范围极限值检验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Clm</w:t>
            </w:r>
            <w:r>
              <w:rPr>
                <w:rFonts w:hint="eastAsia" w:ascii="宋体" w:hAnsi="宋体"/>
                <w:color w:val="auto"/>
                <w:sz w:val="22"/>
                <w:szCs w:val="22"/>
                <w:highlight w:val="none"/>
              </w:rPr>
              <w:t>0</w:t>
            </w:r>
            <w:r>
              <w:rPr>
                <w:rFonts w:ascii="宋体" w:hAnsi="宋体"/>
                <w:color w:val="auto"/>
                <w:sz w:val="22"/>
                <w:szCs w:val="22"/>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highlight w:val="none"/>
              </w:rPr>
              <w:t>GB/T 13729-2019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kern w:val="21"/>
                <w:highlight w:val="none"/>
              </w:rPr>
              <w:t>检查远动机</w:t>
            </w:r>
            <w:r>
              <w:rPr>
                <w:rFonts w:ascii="宋体" w:hAnsi="宋体"/>
                <w:color w:val="auto"/>
                <w:kern w:val="21"/>
                <w:highlight w:val="none"/>
              </w:rPr>
              <w:t>在贮存温度极限值之后</w:t>
            </w:r>
            <w:r>
              <w:rPr>
                <w:rFonts w:hint="eastAsia" w:ascii="宋体" w:hAnsi="宋体"/>
                <w:color w:val="auto"/>
                <w:kern w:val="21"/>
                <w:highlight w:val="none"/>
              </w:rPr>
              <w:t>，</w:t>
            </w:r>
            <w:r>
              <w:rPr>
                <w:rFonts w:ascii="宋体" w:hAnsi="宋体"/>
                <w:color w:val="auto"/>
                <w:kern w:val="21"/>
                <w:highlight w:val="none"/>
              </w:rPr>
              <w:t>工作正常。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满足测试要求</w:t>
            </w:r>
            <w:r>
              <w:rPr>
                <w:rFonts w:hint="eastAsia" w:ascii="宋体" w:hAnsi="宋体"/>
                <w:color w:val="auto"/>
                <w:kern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kern w:val="21"/>
                <w:highlight w:val="none"/>
              </w:rPr>
            </w:pPr>
            <w:r>
              <w:rPr>
                <w:rFonts w:hint="eastAsia" w:ascii="宋体" w:hAnsi="宋体"/>
                <w:color w:val="auto"/>
                <w:kern w:val="21"/>
                <w:highlight w:val="none"/>
              </w:rPr>
              <w:t>试验室的温度允许偏差范围为±2℃，相对湿度允许偏差范围为±2%，设备各表面与相应的室内壁之间最小距离不小于150mm，，试验室以不超过1℃/min的变化率升温，待温度达到被试温度后，保持</w:t>
            </w:r>
            <w:r>
              <w:rPr>
                <w:rFonts w:ascii="宋体" w:hAnsi="宋体"/>
                <w:color w:val="auto"/>
                <w:kern w:val="21"/>
                <w:highlight w:val="none"/>
              </w:rPr>
              <w:t>16</w:t>
            </w:r>
            <w:r>
              <w:rPr>
                <w:rFonts w:hint="eastAsia" w:ascii="宋体" w:hAnsi="宋体"/>
                <w:color w:val="auto"/>
                <w:kern w:val="21"/>
                <w:highlight w:val="none"/>
              </w:rPr>
              <w:t>h，</w:t>
            </w:r>
            <w:r>
              <w:rPr>
                <w:rFonts w:hint="eastAsia" w:ascii="宋体"/>
                <w:color w:val="auto"/>
                <w:szCs w:val="21"/>
                <w:highlight w:val="none"/>
              </w:rPr>
              <w:t>保温结束后</w:t>
            </w:r>
            <w:r>
              <w:rPr>
                <w:rFonts w:ascii="宋体"/>
                <w:color w:val="auto"/>
                <w:szCs w:val="21"/>
                <w:highlight w:val="none"/>
              </w:rPr>
              <w:t>2</w:t>
            </w:r>
            <w:r>
              <w:rPr>
                <w:rFonts w:hint="eastAsia" w:ascii="宋体"/>
                <w:color w:val="auto"/>
                <w:szCs w:val="21"/>
                <w:highlight w:val="none"/>
              </w:rPr>
              <w:t>小时，温度恢复正常</w:t>
            </w:r>
            <w:r>
              <w:rPr>
                <w:rFonts w:hint="eastAsia" w:ascii="宋体" w:hAnsi="宋体"/>
                <w:color w:val="auto"/>
                <w:kern w:val="21"/>
                <w:highlight w:val="none"/>
              </w:rPr>
              <w:t xml:space="preserve">。 </w:t>
            </w:r>
          </w:p>
          <w:p>
            <w:pPr>
              <w:rPr>
                <w:rFonts w:ascii="宋体" w:hAnsi="宋体"/>
                <w:color w:val="auto"/>
                <w:highlight w:val="none"/>
              </w:rPr>
            </w:pPr>
            <w:r>
              <w:rPr>
                <w:rFonts w:hint="eastAsia" w:ascii="宋体" w:hAnsi="宋体"/>
                <w:color w:val="auto"/>
                <w:kern w:val="21"/>
                <w:highlight w:val="none"/>
              </w:rPr>
              <w:t>试验结束后将设备取出试验室进行外观检查和功能性能检查。性能应满足原技术要求。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b/>
          <w:color w:val="auto"/>
          <w:sz w:val="28"/>
          <w:szCs w:val="28"/>
          <w:highlight w:val="none"/>
        </w:rPr>
      </w:pPr>
    </w:p>
    <w:p>
      <w:pPr>
        <w:pStyle w:val="3"/>
        <w:rPr>
          <w:color w:val="auto"/>
          <w:sz w:val="24"/>
          <w:szCs w:val="24"/>
          <w:highlight w:val="none"/>
        </w:rPr>
      </w:pPr>
      <w:bookmarkStart w:id="254" w:name="_Toc484018993"/>
      <w:bookmarkStart w:id="255" w:name="_Toc49258187"/>
      <w:bookmarkStart w:id="256" w:name="_Toc528273608"/>
      <w:bookmarkStart w:id="257" w:name="_Toc397670700"/>
      <w:bookmarkStart w:id="258" w:name="_Toc401730882"/>
      <w:r>
        <w:rPr>
          <w:rFonts w:hint="eastAsia"/>
          <w:color w:val="auto"/>
          <w:sz w:val="24"/>
          <w:szCs w:val="24"/>
          <w:highlight w:val="none"/>
        </w:rPr>
        <w:t>机械</w:t>
      </w:r>
      <w:r>
        <w:rPr>
          <w:color w:val="auto"/>
          <w:sz w:val="24"/>
          <w:szCs w:val="24"/>
          <w:highlight w:val="none"/>
        </w:rPr>
        <w:t>性能试验</w:t>
      </w:r>
      <w:bookmarkEnd w:id="254"/>
      <w:bookmarkEnd w:id="255"/>
      <w:bookmarkEnd w:id="256"/>
    </w:p>
    <w:p>
      <w:pPr>
        <w:pStyle w:val="5"/>
        <w:rPr>
          <w:color w:val="auto"/>
          <w:sz w:val="24"/>
          <w:szCs w:val="24"/>
          <w:highlight w:val="none"/>
        </w:rPr>
      </w:pPr>
      <w:bookmarkStart w:id="259" w:name="_Toc484018994"/>
      <w:bookmarkStart w:id="260" w:name="_Toc528273609"/>
      <w:r>
        <w:rPr>
          <w:color w:val="auto"/>
          <w:sz w:val="24"/>
          <w:szCs w:val="24"/>
          <w:highlight w:val="none"/>
        </w:rPr>
        <w:t>振动响应</w:t>
      </w:r>
      <w:bookmarkEnd w:id="257"/>
      <w:bookmarkEnd w:id="258"/>
      <w:r>
        <w:rPr>
          <w:rFonts w:hint="eastAsia"/>
          <w:color w:val="auto"/>
          <w:sz w:val="24"/>
          <w:szCs w:val="24"/>
          <w:highlight w:val="none"/>
        </w:rPr>
        <w:t>试验</w:t>
      </w:r>
      <w:bookmarkEnd w:id="259"/>
      <w:bookmarkEnd w:id="26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振动响应试验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Mec</w:t>
            </w:r>
            <w:r>
              <w:rPr>
                <w:rFonts w:hint="eastAsia" w:ascii="宋体" w:hAnsi="宋体"/>
                <w:color w:val="auto"/>
                <w:sz w:val="22"/>
                <w:szCs w:val="22"/>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检查远动机振动</w:t>
            </w:r>
            <w:r>
              <w:rPr>
                <w:rFonts w:ascii="宋体" w:hAnsi="宋体"/>
                <w:color w:val="auto"/>
                <w:highlight w:val="none"/>
              </w:rPr>
              <w:t>响应</w:t>
            </w:r>
            <w:r>
              <w:rPr>
                <w:rFonts w:hint="eastAsia" w:ascii="宋体" w:hAnsi="宋体"/>
                <w:color w:val="auto"/>
                <w:highlight w:val="none"/>
              </w:rPr>
              <w:t>试验</w:t>
            </w:r>
            <w:r>
              <w:rPr>
                <w:rFonts w:ascii="宋体" w:hAnsi="宋体"/>
                <w:color w:val="auto"/>
                <w:highlight w:val="none"/>
              </w:rPr>
              <w:t>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远动机应能承受GB/T 11287-2000中规定的等级为1级的振动响应试验，在试验过程中，不应改变原来的工作状态。试验后，不应发生紧固零件松动及机械损坏现象且满足原技术要求。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远动机振动</w:t>
            </w:r>
            <w:r>
              <w:rPr>
                <w:rFonts w:ascii="宋体" w:hAnsi="宋体"/>
                <w:color w:val="auto"/>
                <w:highlight w:val="none"/>
              </w:rPr>
              <w:t>响应</w:t>
            </w:r>
            <w:r>
              <w:rPr>
                <w:rFonts w:hint="eastAsia" w:ascii="宋体" w:hAnsi="宋体"/>
                <w:color w:val="auto"/>
                <w:highlight w:val="none"/>
              </w:rPr>
              <w:t>试验</w:t>
            </w:r>
            <w:r>
              <w:rPr>
                <w:rFonts w:ascii="宋体" w:hAnsi="宋体"/>
                <w:color w:val="auto"/>
                <w:highlight w:val="none"/>
              </w:rPr>
              <w:t>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rPr>
              <w:tab/>
            </w:r>
            <w:r>
              <w:rPr>
                <w:rFonts w:hint="eastAsia" w:ascii="宋体" w:hAnsi="宋体"/>
                <w:color w:val="auto"/>
                <w:highlight w:val="none"/>
              </w:rPr>
              <w:t>严酷等级：1级；</w:t>
            </w:r>
          </w:p>
          <w:p>
            <w:pPr>
              <w:rPr>
                <w:rFonts w:ascii="宋体" w:hAnsi="宋体"/>
                <w:color w:val="auto"/>
                <w:highlight w:val="none"/>
              </w:rPr>
            </w:pPr>
            <w:r>
              <w:rPr>
                <w:rFonts w:hint="eastAsia" w:ascii="宋体" w:hAnsi="宋体"/>
                <w:color w:val="auto"/>
                <w:highlight w:val="none"/>
              </w:rPr>
              <w:t>2)</w:t>
            </w:r>
            <w:r>
              <w:rPr>
                <w:rFonts w:hint="eastAsia" w:ascii="宋体" w:hAnsi="宋体"/>
                <w:color w:val="auto"/>
                <w:highlight w:val="none"/>
              </w:rPr>
              <w:tab/>
            </w:r>
            <w:r>
              <w:rPr>
                <w:rFonts w:hint="eastAsia" w:ascii="宋体" w:hAnsi="宋体"/>
                <w:color w:val="auto"/>
                <w:highlight w:val="none"/>
              </w:rPr>
              <w:t>振动频率范围：10Hz～150Hz；交越频率为60Hz；</w:t>
            </w:r>
          </w:p>
          <w:p>
            <w:pPr>
              <w:rPr>
                <w:rFonts w:ascii="宋体" w:hAnsi="宋体"/>
                <w:color w:val="auto"/>
                <w:highlight w:val="none"/>
              </w:rPr>
            </w:pPr>
            <w:r>
              <w:rPr>
                <w:rFonts w:hint="eastAsia" w:ascii="宋体" w:hAnsi="宋体"/>
                <w:color w:val="auto"/>
                <w:highlight w:val="none"/>
              </w:rPr>
              <w:t>3)</w:t>
            </w:r>
            <w:r>
              <w:rPr>
                <w:rFonts w:hint="eastAsia" w:ascii="宋体" w:hAnsi="宋体"/>
                <w:color w:val="auto"/>
                <w:highlight w:val="none"/>
              </w:rPr>
              <w:tab/>
            </w:r>
            <w:r>
              <w:rPr>
                <w:rFonts w:hint="eastAsia" w:ascii="宋体" w:hAnsi="宋体"/>
                <w:color w:val="auto"/>
                <w:highlight w:val="none"/>
              </w:rPr>
              <w:t>扫描速率：1倍频/min；</w:t>
            </w:r>
          </w:p>
          <w:p>
            <w:pPr>
              <w:rPr>
                <w:rFonts w:ascii="宋体" w:hAnsi="宋体"/>
                <w:color w:val="auto"/>
                <w:highlight w:val="none"/>
              </w:rPr>
            </w:pPr>
            <w:r>
              <w:rPr>
                <w:rFonts w:hint="eastAsia" w:ascii="宋体" w:hAnsi="宋体"/>
                <w:color w:val="auto"/>
                <w:highlight w:val="none"/>
              </w:rPr>
              <w:t>4)</w:t>
            </w:r>
            <w:r>
              <w:rPr>
                <w:rFonts w:hint="eastAsia" w:ascii="宋体" w:hAnsi="宋体"/>
                <w:color w:val="auto"/>
                <w:highlight w:val="none"/>
              </w:rPr>
              <w:tab/>
            </w:r>
            <w:r>
              <w:rPr>
                <w:rFonts w:hint="eastAsia" w:ascii="宋体" w:hAnsi="宋体"/>
                <w:color w:val="auto"/>
                <w:highlight w:val="none"/>
              </w:rPr>
              <w:t>交越频率以下位移幅值为0.035mm；交越频率以上加速度为5m/s2；</w:t>
            </w:r>
          </w:p>
          <w:p>
            <w:pPr>
              <w:rPr>
                <w:rFonts w:ascii="宋体" w:hAnsi="宋体"/>
                <w:color w:val="auto"/>
                <w:highlight w:val="none"/>
              </w:rPr>
            </w:pPr>
            <w:r>
              <w:rPr>
                <w:rFonts w:hint="eastAsia" w:ascii="宋体" w:hAnsi="宋体"/>
                <w:color w:val="auto"/>
                <w:highlight w:val="none"/>
              </w:rPr>
              <w:t>5)</w:t>
            </w:r>
            <w:r>
              <w:rPr>
                <w:rFonts w:hint="eastAsia" w:ascii="宋体" w:hAnsi="宋体"/>
                <w:color w:val="auto"/>
                <w:highlight w:val="none"/>
              </w:rPr>
              <w:tab/>
            </w:r>
            <w:r>
              <w:rPr>
                <w:rFonts w:hint="eastAsia" w:ascii="宋体" w:hAnsi="宋体"/>
                <w:color w:val="auto"/>
                <w:highlight w:val="none"/>
              </w:rPr>
              <w:t>振动方向：三个轴向，每个轴向扫频循环1次；</w:t>
            </w:r>
          </w:p>
          <w:p>
            <w:pPr>
              <w:rPr>
                <w:rFonts w:ascii="宋体" w:hAnsi="宋体"/>
                <w:color w:val="auto"/>
                <w:highlight w:val="none"/>
              </w:rPr>
            </w:pPr>
            <w:r>
              <w:rPr>
                <w:rFonts w:hint="eastAsia" w:ascii="宋体" w:hAnsi="宋体"/>
                <w:color w:val="auto"/>
                <w:highlight w:val="none"/>
              </w:rPr>
              <w:t>6)</w:t>
            </w:r>
            <w:r>
              <w:rPr>
                <w:rFonts w:hint="eastAsia" w:ascii="宋体" w:hAnsi="宋体"/>
                <w:color w:val="auto"/>
                <w:highlight w:val="none"/>
              </w:rPr>
              <w:tab/>
            </w:r>
            <w:r>
              <w:rPr>
                <w:rFonts w:hint="eastAsia" w:ascii="宋体" w:hAnsi="宋体"/>
                <w:color w:val="auto"/>
                <w:highlight w:val="none"/>
              </w:rPr>
              <w:t>试验时，施加规定的激励量，装置处于运行状态。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bookmarkStart w:id="261" w:name="_Toc484018995"/>
    </w:p>
    <w:p>
      <w:pPr>
        <w:pStyle w:val="5"/>
        <w:rPr>
          <w:color w:val="auto"/>
          <w:sz w:val="24"/>
          <w:szCs w:val="24"/>
          <w:highlight w:val="none"/>
        </w:rPr>
      </w:pPr>
      <w:bookmarkStart w:id="262" w:name="_Toc528273610"/>
      <w:r>
        <w:rPr>
          <w:color w:val="auto"/>
          <w:sz w:val="24"/>
          <w:szCs w:val="24"/>
          <w:highlight w:val="none"/>
        </w:rPr>
        <w:t>振动</w:t>
      </w:r>
      <w:r>
        <w:rPr>
          <w:rFonts w:hint="eastAsia"/>
          <w:color w:val="auto"/>
          <w:sz w:val="24"/>
          <w:szCs w:val="24"/>
          <w:highlight w:val="none"/>
        </w:rPr>
        <w:t>耐久试验</w:t>
      </w:r>
      <w:bookmarkEnd w:id="261"/>
      <w:bookmarkEnd w:id="26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振动耐久试验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Mec</w:t>
            </w:r>
            <w:r>
              <w:rPr>
                <w:rFonts w:hint="eastAsia" w:ascii="宋体" w:hAnsi="宋体"/>
                <w:color w:val="auto"/>
                <w:sz w:val="22"/>
                <w:szCs w:val="22"/>
                <w:highlight w:val="none"/>
              </w:rPr>
              <w:t>0</w:t>
            </w:r>
            <w:r>
              <w:rPr>
                <w:rFonts w:ascii="宋体" w:hAnsi="宋体"/>
                <w:color w:val="auto"/>
                <w:sz w:val="22"/>
                <w:szCs w:val="22"/>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 第</w:t>
            </w:r>
            <w:r>
              <w:rPr>
                <w:rFonts w:ascii="宋体" w:hAnsi="宋体"/>
                <w:color w:val="auto"/>
                <w:highlight w:val="none"/>
              </w:rPr>
              <w:t>5.9</w:t>
            </w:r>
            <w:r>
              <w:rPr>
                <w:rFonts w:hint="eastAsia" w:ascii="宋体" w:hAnsi="宋体"/>
                <w:color w:val="auto"/>
                <w:highlight w:val="none"/>
              </w:rPr>
              <w:t>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检查远动机振动耐久试验</w:t>
            </w:r>
            <w:r>
              <w:rPr>
                <w:rFonts w:ascii="宋体" w:hAnsi="宋体"/>
                <w:color w:val="auto"/>
                <w:highlight w:val="none"/>
              </w:rPr>
              <w:t>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远动机应能承受GB/T 11287-2000中等级为1级的振动耐久试验，试验后没有发生紧固零件松动及机械损伤现象且满足原技术要求。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远动机振动耐久试验</w:t>
            </w:r>
            <w:r>
              <w:rPr>
                <w:rFonts w:ascii="宋体" w:hAnsi="宋体"/>
                <w:color w:val="auto"/>
                <w:highlight w:val="none"/>
              </w:rPr>
              <w:t>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rPr>
              <w:tab/>
            </w:r>
            <w:r>
              <w:rPr>
                <w:rFonts w:hint="eastAsia" w:ascii="宋体" w:hAnsi="宋体"/>
                <w:color w:val="auto"/>
                <w:highlight w:val="none"/>
              </w:rPr>
              <w:t>严酷等级：1级；</w:t>
            </w:r>
          </w:p>
          <w:p>
            <w:pPr>
              <w:rPr>
                <w:rFonts w:ascii="宋体" w:hAnsi="宋体"/>
                <w:color w:val="auto"/>
                <w:highlight w:val="none"/>
              </w:rPr>
            </w:pPr>
            <w:r>
              <w:rPr>
                <w:rFonts w:hint="eastAsia" w:ascii="宋体" w:hAnsi="宋体"/>
                <w:color w:val="auto"/>
                <w:highlight w:val="none"/>
              </w:rPr>
              <w:t>2)</w:t>
            </w:r>
            <w:r>
              <w:rPr>
                <w:rFonts w:hint="eastAsia" w:ascii="宋体" w:hAnsi="宋体"/>
                <w:color w:val="auto"/>
                <w:highlight w:val="none"/>
              </w:rPr>
              <w:tab/>
            </w:r>
            <w:r>
              <w:rPr>
                <w:rFonts w:hint="eastAsia" w:ascii="宋体" w:hAnsi="宋体"/>
                <w:color w:val="auto"/>
                <w:highlight w:val="none"/>
              </w:rPr>
              <w:t>振动频率范围：10Hz～150Hz；</w:t>
            </w:r>
          </w:p>
          <w:p>
            <w:pPr>
              <w:rPr>
                <w:rFonts w:ascii="宋体" w:hAnsi="宋体"/>
                <w:color w:val="auto"/>
                <w:highlight w:val="none"/>
              </w:rPr>
            </w:pPr>
            <w:r>
              <w:rPr>
                <w:rFonts w:hint="eastAsia" w:ascii="宋体" w:hAnsi="宋体"/>
                <w:color w:val="auto"/>
                <w:highlight w:val="none"/>
              </w:rPr>
              <w:t>3)</w:t>
            </w:r>
            <w:r>
              <w:rPr>
                <w:rFonts w:hint="eastAsia" w:ascii="宋体" w:hAnsi="宋体"/>
                <w:color w:val="auto"/>
                <w:highlight w:val="none"/>
              </w:rPr>
              <w:tab/>
            </w:r>
            <w:r>
              <w:rPr>
                <w:rFonts w:hint="eastAsia" w:ascii="宋体" w:hAnsi="宋体"/>
                <w:color w:val="auto"/>
                <w:highlight w:val="none"/>
              </w:rPr>
              <w:t>扫描速率：1倍频/min；</w:t>
            </w:r>
          </w:p>
          <w:p>
            <w:pPr>
              <w:rPr>
                <w:rFonts w:ascii="宋体" w:hAnsi="宋体"/>
                <w:color w:val="auto"/>
                <w:highlight w:val="none"/>
              </w:rPr>
            </w:pPr>
            <w:r>
              <w:rPr>
                <w:rFonts w:hint="eastAsia" w:ascii="宋体" w:hAnsi="宋体"/>
                <w:color w:val="auto"/>
                <w:highlight w:val="none"/>
              </w:rPr>
              <w:t>4)</w:t>
            </w:r>
            <w:r>
              <w:rPr>
                <w:rFonts w:hint="eastAsia" w:ascii="宋体" w:hAnsi="宋体"/>
                <w:color w:val="auto"/>
                <w:highlight w:val="none"/>
              </w:rPr>
              <w:tab/>
            </w:r>
            <w:r>
              <w:rPr>
                <w:rFonts w:hint="eastAsia" w:ascii="宋体" w:hAnsi="宋体"/>
                <w:color w:val="auto"/>
                <w:highlight w:val="none"/>
              </w:rPr>
              <w:t>加速度：10m/s2；</w:t>
            </w:r>
          </w:p>
          <w:p>
            <w:pPr>
              <w:rPr>
                <w:rFonts w:ascii="宋体" w:hAnsi="宋体"/>
                <w:color w:val="auto"/>
                <w:highlight w:val="none"/>
              </w:rPr>
            </w:pPr>
            <w:r>
              <w:rPr>
                <w:rFonts w:hint="eastAsia" w:ascii="宋体" w:hAnsi="宋体"/>
                <w:color w:val="auto"/>
                <w:highlight w:val="none"/>
              </w:rPr>
              <w:t>5)</w:t>
            </w:r>
            <w:r>
              <w:rPr>
                <w:rFonts w:hint="eastAsia" w:ascii="宋体" w:hAnsi="宋体"/>
                <w:color w:val="auto"/>
                <w:highlight w:val="none"/>
              </w:rPr>
              <w:tab/>
            </w:r>
            <w:r>
              <w:rPr>
                <w:rFonts w:hint="eastAsia" w:ascii="宋体" w:hAnsi="宋体"/>
                <w:color w:val="auto"/>
                <w:highlight w:val="none"/>
              </w:rPr>
              <w:t>振动方向：三个轴向，每个轴向扫频循环20次；</w:t>
            </w:r>
          </w:p>
          <w:p>
            <w:pPr>
              <w:rPr>
                <w:rFonts w:ascii="宋体" w:hAnsi="宋体"/>
                <w:color w:val="auto"/>
                <w:highlight w:val="none"/>
              </w:rPr>
            </w:pPr>
            <w:r>
              <w:rPr>
                <w:rFonts w:hint="eastAsia" w:ascii="宋体" w:hAnsi="宋体"/>
                <w:color w:val="auto"/>
                <w:highlight w:val="none"/>
              </w:rPr>
              <w:t>6)</w:t>
            </w:r>
            <w:r>
              <w:rPr>
                <w:rFonts w:hint="eastAsia" w:ascii="宋体" w:hAnsi="宋体"/>
                <w:color w:val="auto"/>
                <w:highlight w:val="none"/>
              </w:rPr>
              <w:tab/>
            </w:r>
            <w:r>
              <w:rPr>
                <w:rFonts w:hint="eastAsia" w:ascii="宋体" w:hAnsi="宋体"/>
                <w:color w:val="auto"/>
                <w:highlight w:val="none"/>
              </w:rPr>
              <w:t>在试验期间，装置不加激励量；</w:t>
            </w:r>
          </w:p>
          <w:p>
            <w:pPr>
              <w:rPr>
                <w:rFonts w:ascii="宋体" w:hAnsi="宋体"/>
                <w:color w:val="auto"/>
                <w:highlight w:val="none"/>
              </w:rPr>
            </w:pPr>
            <w:r>
              <w:rPr>
                <w:rFonts w:hint="eastAsia" w:ascii="宋体" w:hAnsi="宋体"/>
                <w:color w:val="auto"/>
                <w:highlight w:val="none"/>
              </w:rPr>
              <w:t>7)</w:t>
            </w:r>
            <w:r>
              <w:rPr>
                <w:rFonts w:hint="eastAsia" w:ascii="宋体" w:hAnsi="宋体"/>
                <w:color w:val="auto"/>
                <w:highlight w:val="none"/>
              </w:rPr>
              <w:tab/>
            </w:r>
            <w:r>
              <w:rPr>
                <w:rFonts w:hint="eastAsia" w:ascii="宋体" w:hAnsi="宋体"/>
                <w:color w:val="auto"/>
                <w:highlight w:val="none"/>
              </w:rPr>
              <w:t>试验后，装置应能可靠工作。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bookmarkStart w:id="263" w:name="_Toc484018996"/>
    </w:p>
    <w:p>
      <w:pPr>
        <w:pStyle w:val="5"/>
        <w:rPr>
          <w:color w:val="auto"/>
          <w:sz w:val="24"/>
          <w:szCs w:val="24"/>
          <w:highlight w:val="none"/>
        </w:rPr>
      </w:pPr>
      <w:bookmarkStart w:id="264" w:name="_Toc528273611"/>
      <w:r>
        <w:rPr>
          <w:rFonts w:hint="eastAsia"/>
          <w:color w:val="auto"/>
          <w:sz w:val="24"/>
          <w:szCs w:val="24"/>
          <w:highlight w:val="none"/>
        </w:rPr>
        <w:t>冲击</w:t>
      </w:r>
      <w:r>
        <w:rPr>
          <w:color w:val="auto"/>
          <w:sz w:val="24"/>
          <w:szCs w:val="24"/>
          <w:highlight w:val="none"/>
        </w:rPr>
        <w:t>响应</w:t>
      </w:r>
      <w:r>
        <w:rPr>
          <w:rFonts w:hint="eastAsia"/>
          <w:color w:val="auto"/>
          <w:sz w:val="24"/>
          <w:szCs w:val="24"/>
          <w:highlight w:val="none"/>
        </w:rPr>
        <w:t>试验</w:t>
      </w:r>
      <w:bookmarkEnd w:id="263"/>
      <w:bookmarkEnd w:id="26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冲击</w:t>
            </w:r>
            <w:r>
              <w:rPr>
                <w:rFonts w:ascii="宋体" w:hAnsi="宋体"/>
                <w:color w:val="auto"/>
                <w:highlight w:val="none"/>
              </w:rPr>
              <w:t>响应</w:t>
            </w:r>
            <w:r>
              <w:rPr>
                <w:rFonts w:hint="eastAsia" w:ascii="宋体" w:hAnsi="宋体"/>
                <w:color w:val="auto"/>
                <w:highlight w:val="none"/>
              </w:rPr>
              <w:t>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Mec</w:t>
            </w:r>
            <w:r>
              <w:rPr>
                <w:rFonts w:hint="eastAsia" w:ascii="宋体" w:hAnsi="宋体"/>
                <w:color w:val="auto"/>
                <w:sz w:val="22"/>
                <w:szCs w:val="22"/>
                <w:highlight w:val="none"/>
              </w:rPr>
              <w:t>0</w:t>
            </w:r>
            <w:r>
              <w:rPr>
                <w:rFonts w:ascii="宋体" w:hAnsi="宋体"/>
                <w:color w:val="auto"/>
                <w:sz w:val="22"/>
                <w:szCs w:val="22"/>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检查远动机冲击响应试验</w:t>
            </w:r>
            <w:r>
              <w:rPr>
                <w:rFonts w:ascii="宋体" w:hAnsi="宋体"/>
                <w:color w:val="auto"/>
                <w:highlight w:val="none"/>
              </w:rPr>
              <w:t>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远动机应能承受GB/T 14537-1993中等级为1级的冲击响应试验，在试验过程中，不应改变原来的工作状态。试验后，不应发生紧固零件松动及机械损坏现象且满足原技术要求。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远动机冲击</w:t>
            </w:r>
            <w:r>
              <w:rPr>
                <w:rFonts w:ascii="宋体" w:hAnsi="宋体"/>
                <w:color w:val="auto"/>
                <w:highlight w:val="none"/>
              </w:rPr>
              <w:t>响应</w:t>
            </w:r>
            <w:r>
              <w:rPr>
                <w:rFonts w:hint="eastAsia" w:ascii="宋体" w:hAnsi="宋体"/>
                <w:color w:val="auto"/>
                <w:highlight w:val="none"/>
              </w:rPr>
              <w:t>试验</w:t>
            </w:r>
            <w:r>
              <w:rPr>
                <w:rFonts w:ascii="宋体" w:hAnsi="宋体"/>
                <w:color w:val="auto"/>
                <w:highlight w:val="none"/>
              </w:rPr>
              <w:t>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rPr>
              <w:tab/>
            </w:r>
            <w:r>
              <w:rPr>
                <w:rFonts w:hint="eastAsia" w:ascii="宋体" w:hAnsi="宋体"/>
                <w:color w:val="auto"/>
                <w:highlight w:val="none"/>
              </w:rPr>
              <w:t>严酷等级：1级；</w:t>
            </w:r>
          </w:p>
          <w:p>
            <w:pPr>
              <w:rPr>
                <w:rFonts w:ascii="宋体" w:hAnsi="宋体"/>
                <w:color w:val="auto"/>
                <w:highlight w:val="none"/>
              </w:rPr>
            </w:pPr>
            <w:r>
              <w:rPr>
                <w:rFonts w:hint="eastAsia" w:ascii="宋体" w:hAnsi="宋体"/>
                <w:color w:val="auto"/>
                <w:highlight w:val="none"/>
              </w:rPr>
              <w:t>2)</w:t>
            </w:r>
            <w:r>
              <w:rPr>
                <w:rFonts w:hint="eastAsia" w:ascii="宋体" w:hAnsi="宋体"/>
                <w:color w:val="auto"/>
                <w:highlight w:val="none"/>
              </w:rPr>
              <w:tab/>
            </w:r>
            <w:r>
              <w:rPr>
                <w:rFonts w:hint="eastAsia" w:ascii="宋体" w:hAnsi="宋体"/>
                <w:color w:val="auto"/>
                <w:highlight w:val="none"/>
              </w:rPr>
              <w:t>加速度：50m/s2；</w:t>
            </w:r>
          </w:p>
          <w:p>
            <w:pPr>
              <w:rPr>
                <w:rFonts w:ascii="宋体" w:hAnsi="宋体"/>
                <w:color w:val="auto"/>
                <w:highlight w:val="none"/>
              </w:rPr>
            </w:pPr>
            <w:r>
              <w:rPr>
                <w:rFonts w:hint="eastAsia" w:ascii="宋体" w:hAnsi="宋体"/>
                <w:color w:val="auto"/>
                <w:highlight w:val="none"/>
              </w:rPr>
              <w:t>3)</w:t>
            </w:r>
            <w:r>
              <w:rPr>
                <w:rFonts w:hint="eastAsia" w:ascii="宋体" w:hAnsi="宋体"/>
                <w:color w:val="auto"/>
                <w:highlight w:val="none"/>
              </w:rPr>
              <w:tab/>
            </w:r>
            <w:r>
              <w:rPr>
                <w:rFonts w:hint="eastAsia" w:ascii="宋体" w:hAnsi="宋体"/>
                <w:color w:val="auto"/>
                <w:highlight w:val="none"/>
              </w:rPr>
              <w:t>脉冲持续时间：11ms；</w:t>
            </w:r>
          </w:p>
          <w:p>
            <w:pPr>
              <w:rPr>
                <w:rFonts w:ascii="宋体" w:hAnsi="宋体"/>
                <w:color w:val="auto"/>
                <w:highlight w:val="none"/>
              </w:rPr>
            </w:pPr>
            <w:r>
              <w:rPr>
                <w:rFonts w:hint="eastAsia" w:ascii="宋体" w:hAnsi="宋体"/>
                <w:color w:val="auto"/>
                <w:highlight w:val="none"/>
              </w:rPr>
              <w:t>4)</w:t>
            </w:r>
            <w:r>
              <w:rPr>
                <w:rFonts w:hint="eastAsia" w:ascii="宋体" w:hAnsi="宋体"/>
                <w:color w:val="auto"/>
                <w:highlight w:val="none"/>
              </w:rPr>
              <w:tab/>
            </w:r>
            <w:r>
              <w:rPr>
                <w:rFonts w:hint="eastAsia" w:ascii="宋体" w:hAnsi="宋体"/>
                <w:color w:val="auto"/>
                <w:highlight w:val="none"/>
              </w:rPr>
              <w:t>上、下、左、右、前、后各3次；</w:t>
            </w:r>
          </w:p>
          <w:p>
            <w:pPr>
              <w:rPr>
                <w:rFonts w:ascii="宋体" w:hAnsi="宋体"/>
                <w:color w:val="auto"/>
                <w:highlight w:val="none"/>
              </w:rPr>
            </w:pPr>
            <w:r>
              <w:rPr>
                <w:rFonts w:hint="eastAsia" w:ascii="宋体" w:hAnsi="宋体"/>
                <w:color w:val="auto"/>
                <w:highlight w:val="none"/>
              </w:rPr>
              <w:t>5)</w:t>
            </w:r>
            <w:r>
              <w:rPr>
                <w:rFonts w:hint="eastAsia" w:ascii="宋体" w:hAnsi="宋体"/>
                <w:color w:val="auto"/>
                <w:highlight w:val="none"/>
              </w:rPr>
              <w:tab/>
            </w:r>
            <w:r>
              <w:rPr>
                <w:rFonts w:hint="eastAsia" w:ascii="宋体" w:hAnsi="宋体"/>
                <w:color w:val="auto"/>
                <w:highlight w:val="none"/>
              </w:rPr>
              <w:t>试验时，施加规定的激励量，装置处于运行状态。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bookmarkStart w:id="265" w:name="_Toc484018997"/>
    </w:p>
    <w:p>
      <w:pPr>
        <w:pStyle w:val="5"/>
        <w:rPr>
          <w:color w:val="auto"/>
          <w:sz w:val="24"/>
          <w:szCs w:val="24"/>
          <w:highlight w:val="none"/>
        </w:rPr>
      </w:pPr>
      <w:bookmarkStart w:id="266" w:name="_Toc528273612"/>
      <w:r>
        <w:rPr>
          <w:rFonts w:hint="eastAsia"/>
          <w:color w:val="auto"/>
          <w:sz w:val="24"/>
          <w:szCs w:val="24"/>
          <w:highlight w:val="none"/>
        </w:rPr>
        <w:t>冲击耐久试验</w:t>
      </w:r>
      <w:bookmarkEnd w:id="265"/>
      <w:bookmarkEnd w:id="26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冲击耐久试验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Mec</w:t>
            </w:r>
            <w:r>
              <w:rPr>
                <w:rFonts w:hint="eastAsia" w:ascii="宋体" w:hAnsi="宋体"/>
                <w:color w:val="auto"/>
                <w:sz w:val="22"/>
                <w:szCs w:val="22"/>
                <w:highlight w:val="none"/>
              </w:rPr>
              <w:t>0</w:t>
            </w:r>
            <w:r>
              <w:rPr>
                <w:rFonts w:ascii="宋体" w:hAnsi="宋体"/>
                <w:color w:val="auto"/>
                <w:sz w:val="22"/>
                <w:szCs w:val="22"/>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检查远动机冲击耐久</w:t>
            </w:r>
            <w:r>
              <w:rPr>
                <w:rFonts w:ascii="宋体" w:hAnsi="宋体"/>
                <w:color w:val="auto"/>
                <w:highlight w:val="none"/>
              </w:rPr>
              <w:t>试验后各项功能性能满足指标要求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远动机应能承受GB/T 14537-1993中等级为1级的冲击耐久试验，试验后，不应发生紧固零件松动及机械损坏现象且满足原技术要求。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远动机冲击耐久</w:t>
            </w:r>
            <w:r>
              <w:rPr>
                <w:rFonts w:ascii="宋体" w:hAnsi="宋体"/>
                <w:color w:val="auto"/>
                <w:highlight w:val="none"/>
              </w:rPr>
              <w:t>试验后各项功能性能满足指标要求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rPr>
              <w:tab/>
            </w:r>
            <w:r>
              <w:rPr>
                <w:rFonts w:hint="eastAsia" w:ascii="宋体" w:hAnsi="宋体"/>
                <w:color w:val="auto"/>
                <w:highlight w:val="none"/>
              </w:rPr>
              <w:t>严酷等级：1级；</w:t>
            </w:r>
          </w:p>
          <w:p>
            <w:pPr>
              <w:rPr>
                <w:rFonts w:ascii="宋体" w:hAnsi="宋体"/>
                <w:color w:val="auto"/>
                <w:highlight w:val="none"/>
              </w:rPr>
            </w:pPr>
            <w:r>
              <w:rPr>
                <w:rFonts w:hint="eastAsia" w:ascii="宋体" w:hAnsi="宋体"/>
                <w:color w:val="auto"/>
                <w:highlight w:val="none"/>
              </w:rPr>
              <w:t>2)</w:t>
            </w:r>
            <w:r>
              <w:rPr>
                <w:rFonts w:hint="eastAsia" w:ascii="宋体" w:hAnsi="宋体"/>
                <w:color w:val="auto"/>
                <w:highlight w:val="none"/>
              </w:rPr>
              <w:tab/>
            </w:r>
            <w:r>
              <w:rPr>
                <w:rFonts w:hint="eastAsia" w:ascii="宋体" w:hAnsi="宋体"/>
                <w:color w:val="auto"/>
                <w:highlight w:val="none"/>
              </w:rPr>
              <w:t>加速度：150m/s2；</w:t>
            </w:r>
          </w:p>
          <w:p>
            <w:pPr>
              <w:rPr>
                <w:rFonts w:ascii="宋体" w:hAnsi="宋体"/>
                <w:color w:val="auto"/>
                <w:highlight w:val="none"/>
              </w:rPr>
            </w:pPr>
            <w:r>
              <w:rPr>
                <w:rFonts w:hint="eastAsia" w:ascii="宋体" w:hAnsi="宋体"/>
                <w:color w:val="auto"/>
                <w:highlight w:val="none"/>
              </w:rPr>
              <w:t>3)</w:t>
            </w:r>
            <w:r>
              <w:rPr>
                <w:rFonts w:hint="eastAsia" w:ascii="宋体" w:hAnsi="宋体"/>
                <w:color w:val="auto"/>
                <w:highlight w:val="none"/>
              </w:rPr>
              <w:tab/>
            </w:r>
            <w:r>
              <w:rPr>
                <w:rFonts w:hint="eastAsia" w:ascii="宋体" w:hAnsi="宋体"/>
                <w:color w:val="auto"/>
                <w:highlight w:val="none"/>
              </w:rPr>
              <w:t>脉冲持续时间：11ms；</w:t>
            </w:r>
          </w:p>
          <w:p>
            <w:pPr>
              <w:rPr>
                <w:rFonts w:ascii="宋体" w:hAnsi="宋体"/>
                <w:color w:val="auto"/>
                <w:highlight w:val="none"/>
              </w:rPr>
            </w:pPr>
            <w:r>
              <w:rPr>
                <w:rFonts w:hint="eastAsia" w:ascii="宋体" w:hAnsi="宋体"/>
                <w:color w:val="auto"/>
                <w:highlight w:val="none"/>
              </w:rPr>
              <w:t>4)</w:t>
            </w:r>
            <w:r>
              <w:rPr>
                <w:rFonts w:hint="eastAsia" w:ascii="宋体" w:hAnsi="宋体"/>
                <w:color w:val="auto"/>
                <w:highlight w:val="none"/>
              </w:rPr>
              <w:tab/>
            </w:r>
            <w:r>
              <w:rPr>
                <w:rFonts w:hint="eastAsia" w:ascii="宋体" w:hAnsi="宋体"/>
                <w:color w:val="auto"/>
                <w:highlight w:val="none"/>
              </w:rPr>
              <w:t>上、下、左、右、前、后各3次；</w:t>
            </w:r>
          </w:p>
          <w:p>
            <w:pPr>
              <w:rPr>
                <w:rFonts w:ascii="宋体" w:hAnsi="宋体"/>
                <w:color w:val="auto"/>
                <w:highlight w:val="none"/>
              </w:rPr>
            </w:pPr>
            <w:r>
              <w:rPr>
                <w:rFonts w:hint="eastAsia" w:ascii="宋体" w:hAnsi="宋体"/>
                <w:color w:val="auto"/>
                <w:highlight w:val="none"/>
              </w:rPr>
              <w:t>5)</w:t>
            </w:r>
            <w:r>
              <w:rPr>
                <w:rFonts w:hint="eastAsia" w:ascii="宋体" w:hAnsi="宋体"/>
                <w:color w:val="auto"/>
                <w:highlight w:val="none"/>
              </w:rPr>
              <w:tab/>
            </w:r>
            <w:r>
              <w:rPr>
                <w:rFonts w:hint="eastAsia" w:ascii="宋体" w:hAnsi="宋体"/>
                <w:color w:val="auto"/>
                <w:highlight w:val="none"/>
              </w:rPr>
              <w:t>在试验期间，装置不加激励量；</w:t>
            </w:r>
          </w:p>
          <w:p>
            <w:pPr>
              <w:rPr>
                <w:rFonts w:ascii="宋体" w:hAnsi="宋体"/>
                <w:color w:val="auto"/>
                <w:highlight w:val="none"/>
              </w:rPr>
            </w:pPr>
            <w:r>
              <w:rPr>
                <w:rFonts w:hint="eastAsia" w:ascii="宋体" w:hAnsi="宋体"/>
                <w:color w:val="auto"/>
                <w:highlight w:val="none"/>
              </w:rPr>
              <w:t>6)</w:t>
            </w:r>
            <w:r>
              <w:rPr>
                <w:rFonts w:hint="eastAsia" w:ascii="宋体" w:hAnsi="宋体"/>
                <w:color w:val="auto"/>
                <w:highlight w:val="none"/>
              </w:rPr>
              <w:tab/>
            </w:r>
            <w:r>
              <w:rPr>
                <w:rFonts w:hint="eastAsia" w:ascii="宋体" w:hAnsi="宋体"/>
                <w:color w:val="auto"/>
                <w:highlight w:val="none"/>
              </w:rPr>
              <w:t>试验后，装置应能可靠工作。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color w:val="auto"/>
          <w:highlight w:val="none"/>
        </w:rPr>
      </w:pPr>
      <w:bookmarkStart w:id="267" w:name="_Toc484018998"/>
    </w:p>
    <w:p>
      <w:pPr>
        <w:pStyle w:val="5"/>
        <w:rPr>
          <w:color w:val="auto"/>
          <w:sz w:val="24"/>
          <w:szCs w:val="24"/>
          <w:highlight w:val="none"/>
        </w:rPr>
      </w:pPr>
      <w:bookmarkStart w:id="268" w:name="_Toc528273613"/>
      <w:r>
        <w:rPr>
          <w:rFonts w:hint="eastAsia"/>
          <w:color w:val="auto"/>
          <w:sz w:val="24"/>
          <w:szCs w:val="24"/>
          <w:highlight w:val="none"/>
        </w:rPr>
        <w:t>碰撞试验</w:t>
      </w:r>
      <w:bookmarkEnd w:id="267"/>
      <w:bookmarkEnd w:id="26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碰撞试验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ascii="宋体" w:hAnsi="宋体"/>
                <w:color w:val="auto"/>
                <w:sz w:val="22"/>
                <w:szCs w:val="22"/>
                <w:highlight w:val="none"/>
              </w:rPr>
              <w:t>Mec</w:t>
            </w:r>
            <w:r>
              <w:rPr>
                <w:rFonts w:hint="eastAsia" w:ascii="宋体" w:hAnsi="宋体"/>
                <w:color w:val="auto"/>
                <w:sz w:val="22"/>
                <w:szCs w:val="22"/>
                <w:highlight w:val="none"/>
              </w:rPr>
              <w:t>0</w:t>
            </w:r>
            <w:r>
              <w:rPr>
                <w:rFonts w:ascii="宋体" w:hAnsi="宋体"/>
                <w:color w:val="auto"/>
                <w:sz w:val="22"/>
                <w:szCs w:val="22"/>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Q/CSG 1204005.66-2014 南方电网一体化电网运行智能系统技术规范 第6部分：厂站应用 第6篇：智能远动机功能规范5.</w:t>
            </w:r>
            <w:r>
              <w:rPr>
                <w:rFonts w:ascii="宋体" w:hAnsi="宋体"/>
                <w:color w:val="auto"/>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测试目的</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检查远动机碰撞</w:t>
            </w:r>
            <w:r>
              <w:rPr>
                <w:rFonts w:ascii="宋体" w:hAnsi="宋体"/>
                <w:color w:val="auto"/>
                <w:highlight w:val="none"/>
              </w:rPr>
              <w:t>试验后各项功能性能满足指标要求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auto"/>
                <w:highlight w:val="none"/>
              </w:rPr>
            </w:pPr>
            <w:r>
              <w:rPr>
                <w:rFonts w:hint="eastAsia" w:ascii="宋体" w:hAnsi="宋体"/>
                <w:color w:val="auto"/>
                <w:highlight w:val="none"/>
              </w:rPr>
              <w:t>远动机应能承受GB/T 14537-1993中等级为1级的碰撞试验，试验后，没有发生紧固零件松动及机械损伤现象且满足原技术要求。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远动机碰撞</w:t>
            </w:r>
            <w:r>
              <w:rPr>
                <w:rFonts w:ascii="宋体" w:hAnsi="宋体"/>
                <w:color w:val="auto"/>
                <w:highlight w:val="none"/>
              </w:rPr>
              <w:t>试验后各项功能性能满足指标要求</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rPr>
              <w:tab/>
            </w:r>
            <w:r>
              <w:rPr>
                <w:rFonts w:hint="eastAsia" w:ascii="宋体" w:hAnsi="宋体"/>
                <w:color w:val="auto"/>
                <w:highlight w:val="none"/>
              </w:rPr>
              <w:t>严酷等级：1级；</w:t>
            </w:r>
          </w:p>
          <w:p>
            <w:pPr>
              <w:rPr>
                <w:rFonts w:ascii="宋体" w:hAnsi="宋体"/>
                <w:color w:val="auto"/>
                <w:highlight w:val="none"/>
              </w:rPr>
            </w:pPr>
            <w:r>
              <w:rPr>
                <w:rFonts w:hint="eastAsia" w:ascii="宋体" w:hAnsi="宋体"/>
                <w:color w:val="auto"/>
                <w:highlight w:val="none"/>
              </w:rPr>
              <w:t>2)</w:t>
            </w:r>
            <w:r>
              <w:rPr>
                <w:rFonts w:hint="eastAsia" w:ascii="宋体" w:hAnsi="宋体"/>
                <w:color w:val="auto"/>
                <w:highlight w:val="none"/>
              </w:rPr>
              <w:tab/>
            </w:r>
            <w:r>
              <w:rPr>
                <w:rFonts w:hint="eastAsia" w:ascii="宋体" w:hAnsi="宋体"/>
                <w:color w:val="auto"/>
                <w:highlight w:val="none"/>
              </w:rPr>
              <w:t>加速度：100m/s2；</w:t>
            </w:r>
          </w:p>
          <w:p>
            <w:pPr>
              <w:rPr>
                <w:rFonts w:ascii="宋体" w:hAnsi="宋体"/>
                <w:color w:val="auto"/>
                <w:highlight w:val="none"/>
              </w:rPr>
            </w:pPr>
            <w:r>
              <w:rPr>
                <w:rFonts w:hint="eastAsia" w:ascii="宋体" w:hAnsi="宋体"/>
                <w:color w:val="auto"/>
                <w:highlight w:val="none"/>
              </w:rPr>
              <w:t>3)</w:t>
            </w:r>
            <w:r>
              <w:rPr>
                <w:rFonts w:hint="eastAsia" w:ascii="宋体" w:hAnsi="宋体"/>
                <w:color w:val="auto"/>
                <w:highlight w:val="none"/>
              </w:rPr>
              <w:tab/>
            </w:r>
            <w:r>
              <w:rPr>
                <w:rFonts w:hint="eastAsia" w:ascii="宋体" w:hAnsi="宋体"/>
                <w:color w:val="auto"/>
                <w:highlight w:val="none"/>
              </w:rPr>
              <w:t>脉冲持续时间：16ms；</w:t>
            </w:r>
          </w:p>
          <w:p>
            <w:pPr>
              <w:rPr>
                <w:rFonts w:ascii="宋体" w:hAnsi="宋体"/>
                <w:color w:val="auto"/>
                <w:highlight w:val="none"/>
              </w:rPr>
            </w:pPr>
            <w:r>
              <w:rPr>
                <w:rFonts w:hint="eastAsia" w:ascii="宋体" w:hAnsi="宋体"/>
                <w:color w:val="auto"/>
                <w:highlight w:val="none"/>
              </w:rPr>
              <w:t>4)</w:t>
            </w:r>
            <w:r>
              <w:rPr>
                <w:rFonts w:hint="eastAsia" w:ascii="宋体" w:hAnsi="宋体"/>
                <w:color w:val="auto"/>
                <w:highlight w:val="none"/>
              </w:rPr>
              <w:tab/>
            </w:r>
            <w:r>
              <w:rPr>
                <w:rFonts w:hint="eastAsia" w:ascii="宋体" w:hAnsi="宋体"/>
                <w:color w:val="auto"/>
                <w:highlight w:val="none"/>
              </w:rPr>
              <w:t>上、下、左、右、前、后各1000次；</w:t>
            </w:r>
          </w:p>
          <w:p>
            <w:pPr>
              <w:rPr>
                <w:rFonts w:ascii="宋体" w:hAnsi="宋体"/>
                <w:color w:val="auto"/>
                <w:highlight w:val="none"/>
              </w:rPr>
            </w:pPr>
            <w:r>
              <w:rPr>
                <w:rFonts w:hint="eastAsia" w:ascii="宋体" w:hAnsi="宋体"/>
                <w:color w:val="auto"/>
                <w:highlight w:val="none"/>
              </w:rPr>
              <w:t>5)</w:t>
            </w:r>
            <w:r>
              <w:rPr>
                <w:rFonts w:hint="eastAsia" w:ascii="宋体" w:hAnsi="宋体"/>
                <w:color w:val="auto"/>
                <w:highlight w:val="none"/>
              </w:rPr>
              <w:tab/>
            </w:r>
            <w:r>
              <w:rPr>
                <w:rFonts w:hint="eastAsia" w:ascii="宋体" w:hAnsi="宋体"/>
                <w:color w:val="auto"/>
                <w:highlight w:val="none"/>
              </w:rPr>
              <w:t>在试验期间，装置不加激励量；</w:t>
            </w:r>
          </w:p>
          <w:p>
            <w:pPr>
              <w:rPr>
                <w:rFonts w:ascii="宋体" w:hAnsi="宋体"/>
                <w:color w:val="auto"/>
                <w:highlight w:val="none"/>
              </w:rPr>
            </w:pPr>
            <w:r>
              <w:rPr>
                <w:rFonts w:hint="eastAsia" w:ascii="宋体" w:hAnsi="宋体"/>
                <w:color w:val="auto"/>
                <w:highlight w:val="none"/>
              </w:rPr>
              <w:t>6)</w:t>
            </w:r>
            <w:r>
              <w:rPr>
                <w:rFonts w:hint="eastAsia" w:ascii="宋体" w:hAnsi="宋体"/>
                <w:color w:val="auto"/>
                <w:highlight w:val="none"/>
              </w:rPr>
              <w:tab/>
            </w:r>
            <w:r>
              <w:rPr>
                <w:rFonts w:hint="eastAsia" w:ascii="宋体" w:hAnsi="宋体"/>
                <w:color w:val="auto"/>
                <w:highlight w:val="none"/>
              </w:rPr>
              <w:t>试验后，装置应能可靠工作。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b/>
          <w:color w:val="auto"/>
          <w:sz w:val="28"/>
          <w:szCs w:val="28"/>
          <w:highlight w:val="none"/>
        </w:rPr>
      </w:pPr>
    </w:p>
    <w:p>
      <w:pPr>
        <w:pStyle w:val="3"/>
        <w:rPr>
          <w:color w:val="auto"/>
          <w:sz w:val="24"/>
          <w:szCs w:val="24"/>
          <w:highlight w:val="none"/>
        </w:rPr>
      </w:pPr>
      <w:bookmarkStart w:id="269" w:name="_Toc49258188"/>
      <w:bookmarkStart w:id="270" w:name="_Toc528273614"/>
      <w:r>
        <w:rPr>
          <w:rFonts w:hint="eastAsia"/>
          <w:color w:val="auto"/>
          <w:sz w:val="24"/>
          <w:szCs w:val="24"/>
          <w:highlight w:val="none"/>
        </w:rPr>
        <w:t>电磁兼容试验</w:t>
      </w:r>
      <w:bookmarkEnd w:id="269"/>
      <w:bookmarkEnd w:id="270"/>
    </w:p>
    <w:tbl>
      <w:tblPr>
        <w:tblStyle w:val="48"/>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2766"/>
        <w:gridCol w:w="2551"/>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70"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序号</w:t>
            </w:r>
          </w:p>
        </w:tc>
        <w:tc>
          <w:tcPr>
            <w:tcW w:w="276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检测项目</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检测方法</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b/>
                <w:color w:val="auto"/>
                <w:szCs w:val="21"/>
                <w:highlight w:val="none"/>
              </w:rPr>
            </w:pPr>
            <w:r>
              <w:rPr>
                <w:rFonts w:hint="eastAsia" w:ascii="Arial" w:hAnsi="Arial"/>
                <w:b/>
                <w:color w:val="auto"/>
                <w:szCs w:val="21"/>
                <w:highlight w:val="none"/>
              </w:rPr>
              <w:t>等级要求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bottom w:val="single" w:color="auto" w:sz="4" w:space="0"/>
              <w:right w:val="single" w:color="auto" w:sz="4" w:space="0"/>
            </w:tcBorders>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01</w:t>
            </w:r>
          </w:p>
        </w:tc>
        <w:tc>
          <w:tcPr>
            <w:tcW w:w="2766" w:type="dxa"/>
            <w:tcBorders>
              <w:left w:val="single" w:color="auto" w:sz="4" w:space="0"/>
              <w:bottom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静电放电抗扰度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17626.2-2018</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bottom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02</w:t>
            </w:r>
          </w:p>
        </w:tc>
        <w:tc>
          <w:tcPr>
            <w:tcW w:w="2766" w:type="dxa"/>
            <w:tcBorders>
              <w:left w:val="single" w:color="auto" w:sz="4" w:space="0"/>
              <w:bottom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射频电磁场辐射抗扰度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17626.3-2016</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bottom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03</w:t>
            </w:r>
          </w:p>
        </w:tc>
        <w:tc>
          <w:tcPr>
            <w:tcW w:w="2766" w:type="dxa"/>
            <w:tcBorders>
              <w:left w:val="single" w:color="auto" w:sz="4" w:space="0"/>
              <w:bottom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电快速瞬变脉冲群抗扰度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17626.4-2018</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bottom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04</w:t>
            </w:r>
          </w:p>
        </w:tc>
        <w:tc>
          <w:tcPr>
            <w:tcW w:w="2766" w:type="dxa"/>
            <w:tcBorders>
              <w:left w:val="single" w:color="auto" w:sz="4" w:space="0"/>
              <w:bottom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浪涌（冲击）抗扰度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17626.5-2019</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bottom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05</w:t>
            </w:r>
          </w:p>
        </w:tc>
        <w:tc>
          <w:tcPr>
            <w:tcW w:w="2766" w:type="dxa"/>
            <w:tcBorders>
              <w:left w:val="single" w:color="auto" w:sz="4" w:space="0"/>
              <w:bottom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射频场感应的传导骚扰抗扰度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17626.6-2017</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bottom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06</w:t>
            </w:r>
          </w:p>
        </w:tc>
        <w:tc>
          <w:tcPr>
            <w:tcW w:w="2766" w:type="dxa"/>
            <w:tcBorders>
              <w:left w:val="single" w:color="auto" w:sz="4" w:space="0"/>
              <w:bottom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工频磁场抗扰度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17626.8-2006</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5</w:t>
            </w:r>
            <w:r>
              <w:rPr>
                <w:rFonts w:ascii="Arial" w:hAnsi="Arial" w:cs="Arial"/>
                <w:color w:val="auto"/>
                <w:szCs w:val="21"/>
                <w:highlight w:val="none"/>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07</w:t>
            </w:r>
          </w:p>
        </w:tc>
        <w:tc>
          <w:tcPr>
            <w:tcW w:w="2766" w:type="dxa"/>
            <w:tcBorders>
              <w:left w:val="single" w:color="auto" w:sz="4" w:space="0"/>
              <w:right w:val="single" w:color="auto" w:sz="4" w:space="0"/>
            </w:tcBorders>
            <w:vAlign w:val="center"/>
          </w:tcPr>
          <w:p>
            <w:pPr>
              <w:rPr>
                <w:rFonts w:ascii="Arial" w:hAnsi="Arial" w:cs="Arial"/>
                <w:color w:val="auto"/>
                <w:szCs w:val="21"/>
                <w:highlight w:val="none"/>
              </w:rPr>
            </w:pPr>
            <w:r>
              <w:rPr>
                <w:rFonts w:ascii="Arial" w:hAnsi="Arial" w:cs="Arial"/>
                <w:color w:val="auto"/>
                <w:szCs w:val="21"/>
                <w:highlight w:val="none"/>
              </w:rPr>
              <w:t>脉冲磁场抗扰度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17626.9-2011</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5</w:t>
            </w:r>
            <w:r>
              <w:rPr>
                <w:rFonts w:ascii="Arial" w:hAnsi="Arial" w:cs="Arial"/>
                <w:color w:val="auto"/>
                <w:szCs w:val="21"/>
                <w:highlight w:val="none"/>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w:t>
            </w:r>
            <w:r>
              <w:rPr>
                <w:rFonts w:ascii="宋体" w:hAnsi="宋体"/>
                <w:color w:val="auto"/>
                <w:sz w:val="22"/>
                <w:szCs w:val="22"/>
                <w:highlight w:val="none"/>
              </w:rPr>
              <w:t>8</w:t>
            </w:r>
          </w:p>
        </w:tc>
        <w:tc>
          <w:tcPr>
            <w:tcW w:w="2766" w:type="dxa"/>
            <w:tcBorders>
              <w:left w:val="single" w:color="auto" w:sz="4" w:space="0"/>
              <w:right w:val="single" w:color="auto" w:sz="4" w:space="0"/>
            </w:tcBorders>
            <w:vAlign w:val="center"/>
          </w:tcPr>
          <w:p>
            <w:pPr>
              <w:rPr>
                <w:rFonts w:ascii="Arial" w:hAnsi="Arial" w:cs="Arial"/>
                <w:color w:val="auto"/>
                <w:szCs w:val="21"/>
                <w:highlight w:val="none"/>
              </w:rPr>
            </w:pPr>
            <w:r>
              <w:rPr>
                <w:rFonts w:ascii="Arial" w:hAnsi="Arial" w:cs="Arial"/>
                <w:color w:val="auto"/>
                <w:szCs w:val="21"/>
                <w:highlight w:val="none"/>
              </w:rPr>
              <w:t>阻尼</w:t>
            </w:r>
            <w:r>
              <w:rPr>
                <w:rFonts w:hint="eastAsia" w:ascii="Arial" w:hAnsi="Arial" w:cs="Arial"/>
                <w:color w:val="auto"/>
                <w:szCs w:val="21"/>
                <w:highlight w:val="none"/>
              </w:rPr>
              <w:t>振荡</w:t>
            </w:r>
            <w:r>
              <w:rPr>
                <w:rFonts w:ascii="Arial" w:hAnsi="Arial" w:cs="Arial"/>
                <w:color w:val="auto"/>
                <w:szCs w:val="21"/>
                <w:highlight w:val="none"/>
              </w:rPr>
              <w:t>磁场抗扰度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17626.1</w:t>
            </w:r>
            <w:r>
              <w:rPr>
                <w:rFonts w:ascii="Arial" w:hAnsi="Arial" w:cs="Arial"/>
                <w:color w:val="auto"/>
                <w:szCs w:val="21"/>
                <w:highlight w:val="none"/>
              </w:rPr>
              <w:t>0</w:t>
            </w:r>
            <w:r>
              <w:rPr>
                <w:rFonts w:hint="eastAsia" w:ascii="Arial" w:hAnsi="Arial" w:cs="Arial"/>
                <w:color w:val="auto"/>
                <w:szCs w:val="21"/>
                <w:highlight w:val="none"/>
              </w:rPr>
              <w:t>-2017</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5</w:t>
            </w:r>
            <w:r>
              <w:rPr>
                <w:rFonts w:ascii="Arial" w:hAnsi="Arial" w:cs="Arial"/>
                <w:color w:val="auto"/>
                <w:szCs w:val="21"/>
                <w:highlight w:val="none"/>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w:t>
            </w:r>
            <w:r>
              <w:rPr>
                <w:rFonts w:hint="eastAsia" w:ascii="宋体" w:hAnsi="宋体"/>
                <w:color w:val="auto"/>
                <w:sz w:val="22"/>
                <w:szCs w:val="22"/>
                <w:highlight w:val="none"/>
              </w:rPr>
              <w:t>0</w:t>
            </w:r>
            <w:r>
              <w:rPr>
                <w:rFonts w:ascii="宋体" w:hAnsi="宋体"/>
                <w:color w:val="auto"/>
                <w:sz w:val="22"/>
                <w:szCs w:val="22"/>
                <w:highlight w:val="none"/>
              </w:rPr>
              <w:t>9</w:t>
            </w:r>
          </w:p>
        </w:tc>
        <w:tc>
          <w:tcPr>
            <w:tcW w:w="2766" w:type="dxa"/>
            <w:tcBorders>
              <w:left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交流电源短时中断抗扰度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17626.11-2008</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中断持续时间200ms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right w:val="single" w:color="auto" w:sz="4" w:space="0"/>
            </w:tcBorders>
            <w:vAlign w:val="center"/>
          </w:tcPr>
          <w:p>
            <w:pPr>
              <w:widowControl/>
              <w:jc w:val="center"/>
              <w:rPr>
                <w:rFonts w:ascii="宋体" w:hAnsi="宋体"/>
                <w:color w:val="auto"/>
                <w:sz w:val="22"/>
                <w:szCs w:val="22"/>
                <w:highlight w:val="none"/>
              </w:rPr>
            </w:pPr>
            <w:r>
              <w:rPr>
                <w:rFonts w:ascii="宋体" w:hAnsi="宋体"/>
                <w:color w:val="auto"/>
                <w:sz w:val="22"/>
                <w:szCs w:val="22"/>
                <w:highlight w:val="none"/>
              </w:rPr>
              <w:t>Emc10</w:t>
            </w:r>
          </w:p>
        </w:tc>
        <w:tc>
          <w:tcPr>
            <w:tcW w:w="2766" w:type="dxa"/>
            <w:tcBorders>
              <w:left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直流电源短时中断抗扰度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w:t>
            </w:r>
            <w:r>
              <w:rPr>
                <w:rFonts w:ascii="Arial" w:hAnsi="Arial" w:cs="Arial"/>
                <w:color w:val="auto"/>
                <w:szCs w:val="21"/>
                <w:highlight w:val="none"/>
              </w:rPr>
              <w:t>29</w:t>
            </w:r>
            <w:r>
              <w:rPr>
                <w:rFonts w:hint="eastAsia" w:ascii="Arial" w:hAnsi="Arial" w:cs="Arial"/>
                <w:color w:val="auto"/>
                <w:szCs w:val="21"/>
                <w:highlight w:val="none"/>
              </w:rPr>
              <w:t>-2006</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中断持续时间200ms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0" w:type="dxa"/>
            <w:tcBorders>
              <w:left w:val="single" w:color="auto" w:sz="4" w:space="0"/>
              <w:bottom w:val="single" w:color="auto" w:sz="4" w:space="0"/>
              <w:right w:val="single" w:color="auto" w:sz="4" w:space="0"/>
            </w:tcBorders>
            <w:vAlign w:val="center"/>
          </w:tcPr>
          <w:p>
            <w:pPr>
              <w:widowControl/>
              <w:jc w:val="center"/>
              <w:rPr>
                <w:rFonts w:ascii="宋体" w:hAnsi="宋体"/>
                <w:color w:val="auto"/>
                <w:kern w:val="0"/>
                <w:sz w:val="22"/>
                <w:szCs w:val="22"/>
                <w:highlight w:val="none"/>
              </w:rPr>
            </w:pPr>
            <w:r>
              <w:rPr>
                <w:rFonts w:ascii="宋体" w:hAnsi="宋体"/>
                <w:color w:val="auto"/>
                <w:sz w:val="22"/>
                <w:szCs w:val="22"/>
                <w:highlight w:val="none"/>
              </w:rPr>
              <w:t>Emc1</w:t>
            </w:r>
            <w:r>
              <w:rPr>
                <w:rFonts w:hint="eastAsia" w:ascii="宋体" w:hAnsi="宋体"/>
                <w:color w:val="auto"/>
                <w:sz w:val="22"/>
                <w:szCs w:val="22"/>
                <w:highlight w:val="none"/>
              </w:rPr>
              <w:t>1</w:t>
            </w:r>
          </w:p>
        </w:tc>
        <w:tc>
          <w:tcPr>
            <w:tcW w:w="2766" w:type="dxa"/>
            <w:tcBorders>
              <w:left w:val="single" w:color="auto" w:sz="4" w:space="0"/>
              <w:bottom w:val="single" w:color="auto" w:sz="4" w:space="0"/>
              <w:right w:val="single" w:color="auto" w:sz="4" w:space="0"/>
            </w:tcBorders>
            <w:vAlign w:val="center"/>
          </w:tcPr>
          <w:p>
            <w:pPr>
              <w:rPr>
                <w:rFonts w:ascii="Arial" w:hAnsi="Arial" w:cs="Arial"/>
                <w:color w:val="auto"/>
                <w:szCs w:val="21"/>
                <w:highlight w:val="none"/>
              </w:rPr>
            </w:pPr>
            <w:r>
              <w:rPr>
                <w:rFonts w:hint="eastAsia" w:ascii="Arial" w:hAnsi="Arial" w:cs="Arial"/>
                <w:color w:val="auto"/>
                <w:szCs w:val="21"/>
                <w:highlight w:val="none"/>
              </w:rPr>
              <w:t>阻尼振荡波抗扰度</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GB/T 17626.1</w:t>
            </w:r>
            <w:r>
              <w:rPr>
                <w:rFonts w:ascii="Arial" w:hAnsi="Arial" w:cs="Arial"/>
                <w:color w:val="auto"/>
                <w:szCs w:val="21"/>
                <w:highlight w:val="none"/>
              </w:rPr>
              <w:t>8</w:t>
            </w:r>
            <w:r>
              <w:rPr>
                <w:rFonts w:hint="eastAsia" w:ascii="Arial" w:hAnsi="Arial" w:cs="Arial"/>
                <w:color w:val="auto"/>
                <w:szCs w:val="21"/>
                <w:highlight w:val="none"/>
              </w:rPr>
              <w:t>-2016</w:t>
            </w:r>
          </w:p>
        </w:tc>
        <w:tc>
          <w:tcPr>
            <w:tcW w:w="2409"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color w:val="auto"/>
                <w:szCs w:val="21"/>
                <w:highlight w:val="none"/>
              </w:rPr>
            </w:pPr>
            <w:r>
              <w:rPr>
                <w:rFonts w:hint="eastAsia" w:ascii="Arial" w:hAnsi="Arial" w:cs="Arial"/>
                <w:color w:val="auto"/>
                <w:szCs w:val="21"/>
                <w:highlight w:val="none"/>
              </w:rPr>
              <w:t>3级</w:t>
            </w:r>
          </w:p>
          <w:p>
            <w:pPr>
              <w:jc w:val="center"/>
              <w:rPr>
                <w:rFonts w:ascii="Arial" w:hAnsi="Arial" w:cs="Arial"/>
                <w:color w:val="auto"/>
                <w:szCs w:val="21"/>
                <w:highlight w:val="none"/>
              </w:rPr>
            </w:pPr>
            <w:r>
              <w:rPr>
                <w:rFonts w:hint="eastAsia" w:ascii="Arial" w:hAnsi="Arial" w:cs="Arial"/>
                <w:color w:val="auto"/>
                <w:szCs w:val="21"/>
                <w:highlight w:val="none"/>
              </w:rPr>
              <w:t>振荡频率100kHz和1MHz</w:t>
            </w:r>
          </w:p>
        </w:tc>
      </w:tr>
    </w:tbl>
    <w:p>
      <w:pPr>
        <w:pStyle w:val="3"/>
        <w:rPr>
          <w:color w:val="auto"/>
          <w:highlight w:val="none"/>
        </w:rPr>
      </w:pPr>
      <w:bookmarkStart w:id="271" w:name="_Toc49258189"/>
      <w:r>
        <w:rPr>
          <w:color w:val="auto"/>
          <w:highlight w:val="none"/>
        </w:rPr>
        <w:t>长期运行稳定性试验</w:t>
      </w:r>
      <w:bookmarkEnd w:id="271"/>
    </w:p>
    <w:p>
      <w:pPr>
        <w:ind w:firstLine="420" w:firstLineChars="200"/>
        <w:rPr>
          <w:color w:val="auto"/>
          <w:highlight w:val="none"/>
        </w:rPr>
      </w:pPr>
      <w:r>
        <w:rPr>
          <w:rFonts w:hint="eastAsia"/>
          <w:color w:val="auto"/>
          <w:highlight w:val="none"/>
        </w:rPr>
        <w:t>为验证装置运行可靠性及可用性，需进行装置长期运行试验。</w:t>
      </w:r>
    </w:p>
    <w:p>
      <w:pPr>
        <w:ind w:firstLine="420" w:firstLineChars="200"/>
        <w:rPr>
          <w:color w:val="auto"/>
          <w:highlight w:val="none"/>
        </w:rPr>
      </w:pPr>
      <w:r>
        <w:rPr>
          <w:rFonts w:hint="eastAsia"/>
          <w:color w:val="auto"/>
          <w:highlight w:val="none"/>
        </w:rPr>
        <w:t>装置在常温下连续带电运行</w:t>
      </w:r>
      <w:r>
        <w:rPr>
          <w:color w:val="auto"/>
          <w:highlight w:val="none"/>
        </w:rPr>
        <w:t>100小时或在高温</w:t>
      </w:r>
      <w:r>
        <w:rPr>
          <w:rFonts w:hint="eastAsia"/>
          <w:color w:val="auto"/>
          <w:highlight w:val="none"/>
        </w:rPr>
        <w:t>4</w:t>
      </w:r>
      <w:r>
        <w:rPr>
          <w:color w:val="auto"/>
          <w:highlight w:val="none"/>
        </w:rPr>
        <w:t>0℃下连续带电运行</w:t>
      </w:r>
      <w:r>
        <w:rPr>
          <w:rFonts w:hint="eastAsia"/>
          <w:color w:val="auto"/>
          <w:highlight w:val="none"/>
        </w:rPr>
        <w:t>7</w:t>
      </w:r>
      <w:r>
        <w:rPr>
          <w:color w:val="auto"/>
          <w:highlight w:val="none"/>
        </w:rPr>
        <w:t>2小时，</w:t>
      </w:r>
      <w:r>
        <w:rPr>
          <w:rFonts w:hint="eastAsia"/>
          <w:color w:val="auto"/>
          <w:highlight w:val="none"/>
        </w:rPr>
        <w:t>试</w:t>
      </w:r>
      <w:r>
        <w:rPr>
          <w:color w:val="auto"/>
          <w:highlight w:val="none"/>
        </w:rPr>
        <w:t>验过程中定时抽测以下项目。</w:t>
      </w:r>
    </w:p>
    <w:tbl>
      <w:tblPr>
        <w:tblStyle w:val="4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1"/>
        <w:gridCol w:w="6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1841" w:type="dxa"/>
            <w:vAlign w:val="center"/>
          </w:tcPr>
          <w:p>
            <w:pPr>
              <w:jc w:val="center"/>
              <w:rPr>
                <w:color w:val="auto"/>
                <w:highlight w:val="none"/>
              </w:rPr>
            </w:pPr>
            <w:r>
              <w:rPr>
                <w:rFonts w:hint="eastAsia"/>
                <w:color w:val="auto"/>
                <w:highlight w:val="none"/>
              </w:rPr>
              <w:t>序号</w:t>
            </w:r>
          </w:p>
        </w:tc>
        <w:tc>
          <w:tcPr>
            <w:tcW w:w="6681" w:type="dxa"/>
            <w:vAlign w:val="center"/>
          </w:tcPr>
          <w:p>
            <w:pPr>
              <w:widowControl/>
              <w:jc w:val="center"/>
              <w:rPr>
                <w:color w:val="auto"/>
                <w:highlight w:val="none"/>
              </w:rPr>
            </w:pPr>
            <w:r>
              <w:rPr>
                <w:rFonts w:hint="eastAsia"/>
                <w:color w:val="auto"/>
                <w:highlight w:val="none"/>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1841" w:type="dxa"/>
            <w:vAlign w:val="center"/>
          </w:tcPr>
          <w:p>
            <w:pPr>
              <w:jc w:val="center"/>
              <w:rPr>
                <w:color w:val="auto"/>
                <w:highlight w:val="none"/>
              </w:rPr>
            </w:pPr>
            <w:r>
              <w:rPr>
                <w:rFonts w:hint="eastAsia"/>
                <w:color w:val="auto"/>
                <w:highlight w:val="none"/>
              </w:rPr>
              <w:t>1</w:t>
            </w:r>
          </w:p>
        </w:tc>
        <w:tc>
          <w:tcPr>
            <w:tcW w:w="6681" w:type="dxa"/>
            <w:vAlign w:val="center"/>
          </w:tcPr>
          <w:p>
            <w:pPr>
              <w:widowControl/>
              <w:jc w:val="center"/>
              <w:rPr>
                <w:color w:val="auto"/>
                <w:highlight w:val="none"/>
              </w:rPr>
            </w:pPr>
            <w:r>
              <w:rPr>
                <w:rFonts w:hint="eastAsia" w:ascii="Arial" w:hAnsi="Arial" w:cs="Arial"/>
                <w:color w:val="auto"/>
                <w:szCs w:val="21"/>
                <w:highlight w:val="none"/>
              </w:rPr>
              <w:t>数据采集功能检验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1841" w:type="dxa"/>
            <w:vAlign w:val="center"/>
          </w:tcPr>
          <w:p>
            <w:pPr>
              <w:jc w:val="center"/>
              <w:rPr>
                <w:color w:val="auto"/>
                <w:highlight w:val="none"/>
              </w:rPr>
            </w:pPr>
            <w:r>
              <w:rPr>
                <w:rFonts w:hint="eastAsia"/>
                <w:color w:val="auto"/>
                <w:highlight w:val="none"/>
              </w:rPr>
              <w:t>2</w:t>
            </w:r>
          </w:p>
        </w:tc>
        <w:tc>
          <w:tcPr>
            <w:tcW w:w="6681" w:type="dxa"/>
            <w:vAlign w:val="center"/>
          </w:tcPr>
          <w:p>
            <w:pPr>
              <w:widowControl/>
              <w:jc w:val="center"/>
              <w:rPr>
                <w:color w:val="auto"/>
                <w:highlight w:val="none"/>
              </w:rPr>
            </w:pPr>
            <w:r>
              <w:rPr>
                <w:rFonts w:hint="eastAsia" w:ascii="Arial" w:hAnsi="Arial" w:cs="Arial"/>
                <w:color w:val="auto"/>
                <w:szCs w:val="21"/>
                <w:highlight w:val="none"/>
              </w:rPr>
              <w:t>数据传输、处理及存储功能检验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1841" w:type="dxa"/>
            <w:vAlign w:val="center"/>
          </w:tcPr>
          <w:p>
            <w:pPr>
              <w:jc w:val="center"/>
              <w:rPr>
                <w:color w:val="auto"/>
                <w:highlight w:val="none"/>
              </w:rPr>
            </w:pPr>
            <w:r>
              <w:rPr>
                <w:rFonts w:hint="eastAsia"/>
                <w:color w:val="auto"/>
                <w:highlight w:val="none"/>
              </w:rPr>
              <w:t>3</w:t>
            </w:r>
          </w:p>
        </w:tc>
        <w:tc>
          <w:tcPr>
            <w:tcW w:w="6681" w:type="dxa"/>
            <w:vAlign w:val="center"/>
          </w:tcPr>
          <w:p>
            <w:pPr>
              <w:widowControl/>
              <w:jc w:val="center"/>
              <w:rPr>
                <w:color w:val="auto"/>
                <w:highlight w:val="none"/>
              </w:rPr>
            </w:pPr>
            <w:r>
              <w:rPr>
                <w:rFonts w:hint="eastAsia" w:ascii="宋体" w:hAnsi="宋体"/>
                <w:color w:val="auto"/>
                <w:highlight w:val="none"/>
              </w:rPr>
              <w:t>数据</w:t>
            </w:r>
            <w:r>
              <w:rPr>
                <w:rFonts w:ascii="宋体" w:hAnsi="宋体"/>
                <w:color w:val="auto"/>
                <w:highlight w:val="none"/>
              </w:rPr>
              <w:t>汇</w:t>
            </w:r>
            <w:r>
              <w:rPr>
                <w:rFonts w:hint="eastAsia" w:ascii="宋体" w:hAnsi="宋体"/>
                <w:color w:val="auto"/>
                <w:highlight w:val="none"/>
              </w:rPr>
              <w:t>集功能检验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1841" w:type="dxa"/>
            <w:vAlign w:val="center"/>
          </w:tcPr>
          <w:p>
            <w:pPr>
              <w:jc w:val="center"/>
              <w:rPr>
                <w:color w:val="auto"/>
                <w:highlight w:val="none"/>
              </w:rPr>
            </w:pPr>
            <w:r>
              <w:rPr>
                <w:rFonts w:hint="eastAsia"/>
                <w:color w:val="auto"/>
                <w:highlight w:val="none"/>
              </w:rPr>
              <w:t>4</w:t>
            </w:r>
          </w:p>
        </w:tc>
        <w:tc>
          <w:tcPr>
            <w:tcW w:w="6681" w:type="dxa"/>
            <w:vAlign w:val="center"/>
          </w:tcPr>
          <w:p>
            <w:pPr>
              <w:widowControl/>
              <w:jc w:val="center"/>
              <w:rPr>
                <w:color w:val="auto"/>
                <w:highlight w:val="none"/>
              </w:rPr>
            </w:pPr>
            <w:r>
              <w:rPr>
                <w:rFonts w:hint="eastAsia" w:ascii="Arial" w:hAnsi="Arial" w:cs="Arial"/>
                <w:color w:val="auto"/>
                <w:szCs w:val="21"/>
                <w:highlight w:val="none"/>
              </w:rPr>
              <w:t>实时通信功能检验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1841" w:type="dxa"/>
            <w:vAlign w:val="center"/>
          </w:tcPr>
          <w:p>
            <w:pPr>
              <w:jc w:val="center"/>
              <w:rPr>
                <w:color w:val="auto"/>
                <w:highlight w:val="none"/>
              </w:rPr>
            </w:pPr>
            <w:r>
              <w:rPr>
                <w:rFonts w:hint="eastAsia"/>
                <w:color w:val="auto"/>
                <w:highlight w:val="none"/>
              </w:rPr>
              <w:t>5</w:t>
            </w:r>
          </w:p>
        </w:tc>
        <w:tc>
          <w:tcPr>
            <w:tcW w:w="6681" w:type="dxa"/>
            <w:vAlign w:val="center"/>
          </w:tcPr>
          <w:p>
            <w:pPr>
              <w:widowControl/>
              <w:jc w:val="center"/>
              <w:rPr>
                <w:color w:val="auto"/>
                <w:highlight w:val="none"/>
              </w:rPr>
            </w:pPr>
            <w:r>
              <w:rPr>
                <w:rFonts w:hint="eastAsia" w:ascii="宋体" w:hAnsi="宋体"/>
                <w:color w:val="auto"/>
                <w:highlight w:val="none"/>
              </w:rPr>
              <w:t>画面数据刷新功能检验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1841" w:type="dxa"/>
            <w:vAlign w:val="center"/>
          </w:tcPr>
          <w:p>
            <w:pPr>
              <w:jc w:val="center"/>
              <w:rPr>
                <w:color w:val="auto"/>
                <w:highlight w:val="none"/>
              </w:rPr>
            </w:pPr>
            <w:r>
              <w:rPr>
                <w:rFonts w:hint="eastAsia"/>
                <w:color w:val="auto"/>
                <w:highlight w:val="none"/>
              </w:rPr>
              <w:t>6</w:t>
            </w:r>
          </w:p>
        </w:tc>
        <w:tc>
          <w:tcPr>
            <w:tcW w:w="6681" w:type="dxa"/>
            <w:vAlign w:val="center"/>
          </w:tcPr>
          <w:p>
            <w:pPr>
              <w:widowControl/>
              <w:jc w:val="center"/>
              <w:rPr>
                <w:rFonts w:ascii="Arial" w:hAnsi="Arial" w:cs="Arial"/>
                <w:color w:val="auto"/>
                <w:szCs w:val="21"/>
                <w:highlight w:val="none"/>
              </w:rPr>
            </w:pPr>
            <w:r>
              <w:rPr>
                <w:rFonts w:hint="eastAsia"/>
                <w:color w:val="auto"/>
                <w:highlight w:val="none"/>
              </w:rPr>
              <w:t>时间同步功能检验</w:t>
            </w:r>
          </w:p>
        </w:tc>
      </w:tr>
    </w:tbl>
    <w:p>
      <w:pPr>
        <w:rPr>
          <w:color w:val="auto"/>
          <w:highlight w:val="none"/>
        </w:rPr>
      </w:pPr>
    </w:p>
    <w:p>
      <w:pPr>
        <w:pStyle w:val="3"/>
        <w:rPr>
          <w:color w:val="auto"/>
          <w:sz w:val="24"/>
          <w:szCs w:val="24"/>
          <w:highlight w:val="none"/>
        </w:rPr>
      </w:pPr>
      <w:bookmarkStart w:id="272" w:name="_Toc49258190"/>
      <w:r>
        <w:rPr>
          <w:rFonts w:hint="eastAsia"/>
          <w:color w:val="auto"/>
          <w:sz w:val="24"/>
          <w:szCs w:val="24"/>
          <w:highlight w:val="none"/>
        </w:rPr>
        <w:t>可靠性评估试</w:t>
      </w:r>
      <w:r>
        <w:rPr>
          <w:color w:val="auto"/>
          <w:sz w:val="24"/>
          <w:szCs w:val="24"/>
          <w:highlight w:val="none"/>
        </w:rPr>
        <w:t>验</w:t>
      </w:r>
      <w:bookmarkEnd w:id="272"/>
    </w:p>
    <w:p>
      <w:pPr>
        <w:pStyle w:val="5"/>
        <w:rPr>
          <w:color w:val="auto"/>
          <w:sz w:val="24"/>
          <w:szCs w:val="24"/>
          <w:highlight w:val="none"/>
        </w:rPr>
      </w:pPr>
      <w:r>
        <w:rPr>
          <w:rFonts w:hint="eastAsia"/>
          <w:color w:val="auto"/>
          <w:sz w:val="24"/>
          <w:szCs w:val="24"/>
          <w:highlight w:val="none"/>
        </w:rPr>
        <w:t>MTBF评估</w:t>
      </w:r>
    </w:p>
    <w:p>
      <w:pPr>
        <w:ind w:firstLine="420" w:firstLineChars="200"/>
        <w:rPr>
          <w:color w:val="auto"/>
          <w:highlight w:val="none"/>
        </w:rPr>
      </w:pPr>
      <w:r>
        <w:rPr>
          <w:rFonts w:hint="eastAsia"/>
          <w:color w:val="auto"/>
          <w:highlight w:val="none"/>
        </w:rPr>
        <w:t>根据可靠性试验结果，利用评估模型对产品的平均无故障工作时间MTBF进行评估。装置的平均无故障工作时间MTBF应满足产品技术标准的要求（MTBF≥30000小时）。</w:t>
      </w:r>
    </w:p>
    <w:p>
      <w:pPr>
        <w:pStyle w:val="5"/>
        <w:rPr>
          <w:color w:val="auto"/>
          <w:sz w:val="24"/>
          <w:szCs w:val="24"/>
          <w:highlight w:val="none"/>
        </w:rPr>
      </w:pPr>
      <w:r>
        <w:rPr>
          <w:rFonts w:hint="eastAsia"/>
          <w:color w:val="auto"/>
          <w:sz w:val="24"/>
          <w:szCs w:val="24"/>
          <w:highlight w:val="none"/>
        </w:rPr>
        <w:t>低温步进应力试验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低温步进应力试验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Rel0</w:t>
            </w:r>
            <w:r>
              <w:rPr>
                <w:rFonts w:ascii="宋体" w:hAnsi="宋体"/>
                <w:color w:val="auto"/>
                <w:sz w:val="22"/>
                <w:szCs w:val="22"/>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高加速寿命试验导则第6.7节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装置的低温工作极限宜≤-50℃，在施加应力高于低温工作极限时，装置应保持正常工作状态。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按照GB/T 29309-2012中第6.7节规定的方法进行低温步进应力试验。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pStyle w:val="222"/>
        <w:ind w:left="425" w:firstLine="0" w:firstLineChars="0"/>
        <w:rPr>
          <w:color w:val="auto"/>
          <w:highlight w:val="none"/>
        </w:rPr>
      </w:pPr>
    </w:p>
    <w:p>
      <w:pPr>
        <w:pStyle w:val="5"/>
        <w:rPr>
          <w:color w:val="auto"/>
          <w:sz w:val="24"/>
          <w:szCs w:val="24"/>
          <w:highlight w:val="none"/>
        </w:rPr>
      </w:pPr>
      <w:r>
        <w:rPr>
          <w:rFonts w:hint="eastAsia"/>
          <w:color w:val="auto"/>
          <w:sz w:val="24"/>
          <w:szCs w:val="24"/>
          <w:highlight w:val="none"/>
        </w:rPr>
        <w:t>高温步进应力试验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高温步进应力试验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Rel02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高加速寿命试验导则第6.8节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装置的高温工作极限宜≥110℃，在施加应力低于高温工作极限限值时，装置应保持正常工作状态。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按照GB/T 29309-2012中第6.8节规定的方法进行高温步进应力试验。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pStyle w:val="222"/>
        <w:ind w:left="425" w:firstLine="0" w:firstLineChars="0"/>
        <w:rPr>
          <w:color w:val="auto"/>
          <w:highlight w:val="none"/>
        </w:rPr>
      </w:pPr>
    </w:p>
    <w:p>
      <w:pPr>
        <w:pStyle w:val="222"/>
        <w:ind w:left="425" w:firstLine="0" w:firstLineChars="0"/>
        <w:rPr>
          <w:color w:val="auto"/>
          <w:highlight w:val="none"/>
        </w:rPr>
      </w:pPr>
    </w:p>
    <w:p>
      <w:pPr>
        <w:pStyle w:val="5"/>
        <w:rPr>
          <w:color w:val="auto"/>
          <w:sz w:val="24"/>
          <w:szCs w:val="24"/>
          <w:highlight w:val="none"/>
        </w:rPr>
      </w:pPr>
      <w:r>
        <w:rPr>
          <w:rFonts w:hint="eastAsia"/>
          <w:color w:val="auto"/>
          <w:sz w:val="24"/>
          <w:szCs w:val="24"/>
          <w:highlight w:val="none"/>
        </w:rPr>
        <w:t>快速温变循环试验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快速温变循环试验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Rel03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高加速寿命试验导则第6.9节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装置在至少5个试验循环中，宜保持正常工作状态。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按照GB/T 29309-2012中第6.9节规定的方法进行快速温变循环试验。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pStyle w:val="222"/>
        <w:ind w:left="425" w:firstLine="0" w:firstLineChars="0"/>
        <w:rPr>
          <w:color w:val="auto"/>
          <w:highlight w:val="none"/>
        </w:rPr>
      </w:pPr>
    </w:p>
    <w:p>
      <w:pPr>
        <w:pStyle w:val="5"/>
        <w:rPr>
          <w:color w:val="auto"/>
          <w:sz w:val="24"/>
          <w:szCs w:val="24"/>
          <w:highlight w:val="none"/>
        </w:rPr>
      </w:pPr>
      <w:r>
        <w:rPr>
          <w:rFonts w:hint="eastAsia"/>
          <w:color w:val="auto"/>
          <w:sz w:val="24"/>
          <w:szCs w:val="24"/>
          <w:highlight w:val="none"/>
        </w:rPr>
        <w:t>振动步进应力试验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振动步进应力试验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Rel04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高加速寿命试验导则第6.10节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装置的振动工作极限宜≥28Grms，在施加应力低于振动工作极限限制时，装置应保持正常工作状态。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按照GB/T 29309-2012中第6.10节规定的方法进行振动步进应力试验。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pStyle w:val="222"/>
        <w:ind w:left="425" w:firstLine="0" w:firstLineChars="0"/>
        <w:rPr>
          <w:color w:val="auto"/>
          <w:highlight w:val="none"/>
        </w:rPr>
      </w:pPr>
    </w:p>
    <w:p>
      <w:pPr>
        <w:pStyle w:val="5"/>
        <w:rPr>
          <w:color w:val="auto"/>
          <w:sz w:val="24"/>
          <w:szCs w:val="24"/>
          <w:highlight w:val="none"/>
        </w:rPr>
      </w:pPr>
      <w:r>
        <w:rPr>
          <w:rFonts w:hint="eastAsia"/>
          <w:color w:val="auto"/>
          <w:sz w:val="24"/>
          <w:szCs w:val="24"/>
          <w:highlight w:val="none"/>
        </w:rPr>
        <w:t>综合应力循环试验</w:t>
      </w:r>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综合应力循环试验</w:t>
            </w:r>
          </w:p>
        </w:tc>
        <w:tc>
          <w:tcPr>
            <w:tcW w:w="80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sz w:val="22"/>
                <w:szCs w:val="22"/>
                <w:highlight w:val="none"/>
              </w:rPr>
              <w:t>Rel05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测试依据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r>
              <w:rPr>
                <w:rFonts w:hint="eastAsia" w:ascii="宋体" w:hAnsi="宋体"/>
                <w:color w:val="auto"/>
                <w:highlight w:val="none"/>
              </w:rPr>
              <w:t>GB/T 29309-2012 电工电子产品加速应力试验规程 高加速寿命试验导则第6.11节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装置的振动工作极限宜≥28Grms，在施加应力低于振动工作极限限制时，装置应保持正常工作状态。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highlight w:val="none"/>
              </w:rPr>
            </w:pPr>
            <w:r>
              <w:rPr>
                <w:rFonts w:hint="eastAsia" w:ascii="宋体" w:hAnsi="宋体"/>
                <w:color w:val="auto"/>
                <w:highlight w:val="none"/>
              </w:rPr>
              <w:t>满足测试要求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color w:val="auto"/>
                <w:kern w:val="0"/>
                <w:highlight w:val="none"/>
              </w:rPr>
            </w:pPr>
            <w:r>
              <w:rPr>
                <w:rFonts w:hint="eastAsia" w:ascii="宋体" w:hAnsi="宋体"/>
                <w:color w:val="auto"/>
                <w:kern w:val="0"/>
                <w:highlight w:val="none"/>
              </w:rPr>
              <w:t>按照GB/T 29309-2012中第6.10节规定的方法进行综合应力循环试验。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widowControl/>
        <w:jc w:val="left"/>
        <w:rPr>
          <w:color w:val="auto"/>
          <w:highlight w:val="none"/>
        </w:rPr>
      </w:pPr>
      <w:r>
        <w:rPr>
          <w:color w:val="auto"/>
          <w:highlight w:val="none"/>
        </w:rPr>
        <w:br w:type="page"/>
      </w:r>
    </w:p>
    <w:p>
      <w:pPr>
        <w:rPr>
          <w:color w:val="auto"/>
          <w:highlight w:val="none"/>
        </w:rPr>
      </w:pPr>
      <w:bookmarkStart w:id="273" w:name="_Toc528273615"/>
      <w:bookmarkStart w:id="274" w:name="_Toc484018999"/>
    </w:p>
    <w:p>
      <w:pPr>
        <w:spacing w:before="156" w:beforeLines="50" w:after="156" w:afterLines="50"/>
        <w:ind w:left="992" w:hanging="992"/>
        <w:jc w:val="center"/>
        <w:outlineLvl w:val="1"/>
        <w:rPr>
          <w:rFonts w:ascii="宋体" w:hAnsi="宋体"/>
          <w:b/>
          <w:color w:val="auto"/>
          <w:sz w:val="24"/>
          <w:szCs w:val="21"/>
          <w:highlight w:val="none"/>
        </w:rPr>
      </w:pPr>
      <w:bookmarkStart w:id="275" w:name="_Toc49258191"/>
      <w:r>
        <w:rPr>
          <w:rFonts w:hint="eastAsia" w:ascii="宋体" w:hAnsi="宋体"/>
          <w:b/>
          <w:color w:val="auto"/>
          <w:sz w:val="24"/>
          <w:szCs w:val="21"/>
          <w:highlight w:val="none"/>
        </w:rPr>
        <w:t xml:space="preserve">附录A </w:t>
      </w:r>
      <w:bookmarkStart w:id="276" w:name="_Toc19400"/>
      <w:r>
        <w:rPr>
          <w:rFonts w:ascii="宋体" w:hAnsi="宋体"/>
          <w:b/>
          <w:color w:val="auto"/>
          <w:sz w:val="24"/>
          <w:szCs w:val="21"/>
          <w:highlight w:val="none"/>
        </w:rPr>
        <w:t>MMS客户端一致性</w:t>
      </w:r>
      <w:bookmarkEnd w:id="273"/>
      <w:bookmarkEnd w:id="274"/>
      <w:bookmarkEnd w:id="276"/>
      <w:r>
        <w:rPr>
          <w:rFonts w:hint="eastAsia" w:ascii="宋体" w:hAnsi="宋体"/>
          <w:b/>
          <w:color w:val="auto"/>
          <w:sz w:val="24"/>
          <w:szCs w:val="21"/>
          <w:highlight w:val="none"/>
        </w:rPr>
        <w:t>检验</w:t>
      </w:r>
      <w:bookmarkEnd w:id="275"/>
    </w:p>
    <w:p>
      <w:pPr>
        <w:jc w:val="center"/>
        <w:rPr>
          <w:color w:val="auto"/>
          <w:highlight w:val="none"/>
        </w:rPr>
      </w:pPr>
      <w:r>
        <w:rPr>
          <w:color w:val="auto"/>
          <w:highlight w:val="none"/>
        </w:rPr>
        <w:t>（资料性附录）</w:t>
      </w:r>
    </w:p>
    <w:p>
      <w:pPr>
        <w:outlineLvl w:val="2"/>
        <w:rPr>
          <w:color w:val="auto"/>
          <w:highlight w:val="none"/>
        </w:rPr>
      </w:pPr>
      <w:bookmarkStart w:id="277" w:name="_Toc484019000"/>
      <w:bookmarkStart w:id="278" w:name="_Toc528273616"/>
      <w:r>
        <w:rPr>
          <w:color w:val="auto"/>
          <w:highlight w:val="none"/>
        </w:rPr>
        <w:t>A.1 文档和版本控制（DL/T860.4）</w:t>
      </w:r>
      <w:bookmarkEnd w:id="277"/>
      <w:bookmarkEnd w:id="27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文档和版本控制测试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DL/T860.4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被测客户端文档和版本控制符合标准要求。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1被测客户端PICS与客户端的硬件或软件版本相符；</w:t>
            </w:r>
          </w:p>
          <w:p>
            <w:pPr>
              <w:pStyle w:val="198"/>
              <w:spacing w:before="0" w:after="0"/>
              <w:rPr>
                <w:rFonts w:ascii="宋体" w:eastAsia="Times New Roman"/>
                <w:color w:val="auto"/>
                <w:highlight w:val="none"/>
              </w:rPr>
            </w:pPr>
            <w:r>
              <w:rPr>
                <w:rFonts w:ascii="宋体" w:hAnsi="宋体"/>
                <w:color w:val="auto"/>
                <w:highlight w:val="none"/>
              </w:rPr>
              <w:t>2被测客户端的PIXIT与客户端的硬件或软件版本相符；</w:t>
            </w:r>
          </w:p>
          <w:p>
            <w:pPr>
              <w:pStyle w:val="198"/>
              <w:spacing w:before="0" w:after="0"/>
              <w:rPr>
                <w:rFonts w:ascii="宋体" w:eastAsia="Times New Roman"/>
                <w:color w:val="auto"/>
                <w:highlight w:val="none"/>
              </w:rPr>
            </w:pPr>
            <w:r>
              <w:rPr>
                <w:rFonts w:ascii="宋体" w:hAnsi="宋体"/>
                <w:color w:val="auto"/>
                <w:highlight w:val="none"/>
              </w:rPr>
              <w:t>3 MICS应描述非标准的逻辑节点、数据对象、数据属性和枚举类的语义；</w:t>
            </w:r>
          </w:p>
          <w:p>
            <w:pPr>
              <w:widowControl/>
              <w:rPr>
                <w:rFonts w:ascii="宋体" w:eastAsia="Times New Roman"/>
                <w:color w:val="auto"/>
                <w:kern w:val="0"/>
                <w:highlight w:val="none"/>
              </w:rPr>
            </w:pPr>
            <w:r>
              <w:rPr>
                <w:rFonts w:hint="eastAsia" w:ascii="宋体" w:hAnsi="宋体"/>
                <w:color w:val="auto"/>
                <w:highlight w:val="none"/>
              </w:rPr>
              <w:t>4 PIXIT文档应包含PIXIT模板文件的所有条目。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1检查是否制造商的PICS与客户端 的硬件或软件版本相符；</w:t>
            </w:r>
          </w:p>
          <w:p>
            <w:pPr>
              <w:pStyle w:val="198"/>
              <w:spacing w:before="0" w:after="0"/>
              <w:rPr>
                <w:rFonts w:ascii="宋体" w:eastAsia="Times New Roman"/>
                <w:color w:val="auto"/>
                <w:highlight w:val="none"/>
              </w:rPr>
            </w:pPr>
            <w:r>
              <w:rPr>
                <w:rFonts w:ascii="宋体" w:hAnsi="宋体"/>
                <w:color w:val="auto"/>
                <w:highlight w:val="none"/>
              </w:rPr>
              <w:t>2检查是否制造商的PIXIT与客户端 的硬件或软件版本相符；</w:t>
            </w:r>
          </w:p>
          <w:p>
            <w:pPr>
              <w:pStyle w:val="198"/>
              <w:spacing w:before="0" w:after="0"/>
              <w:rPr>
                <w:rFonts w:ascii="宋体" w:eastAsia="Times New Roman"/>
                <w:color w:val="auto"/>
                <w:highlight w:val="none"/>
              </w:rPr>
            </w:pPr>
            <w:r>
              <w:rPr>
                <w:rFonts w:ascii="宋体" w:hAnsi="宋体"/>
                <w:color w:val="auto"/>
                <w:highlight w:val="none"/>
              </w:rPr>
              <w:t>3 检查MICS是否描述了非标准的逻辑节点、数据对象、数据属性和枚举类的语义；</w:t>
            </w:r>
          </w:p>
          <w:p>
            <w:pPr>
              <w:jc w:val="left"/>
              <w:rPr>
                <w:rFonts w:ascii="宋体" w:eastAsia="Times New Roman"/>
                <w:b/>
                <w:color w:val="auto"/>
                <w:highlight w:val="none"/>
              </w:rPr>
            </w:pPr>
            <w:r>
              <w:rPr>
                <w:rFonts w:hint="eastAsia" w:ascii="宋体" w:hAnsi="宋体"/>
                <w:color w:val="auto"/>
                <w:highlight w:val="none"/>
              </w:rPr>
              <w:t>4检查PIXIT文档是否包含PIXIT模版中定义的所有条目。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bl>
    <w:p>
      <w:pPr>
        <w:rPr>
          <w:rFonts w:eastAsia="Times New Roman"/>
          <w:color w:val="auto"/>
          <w:highlight w:val="none"/>
        </w:rPr>
      </w:pPr>
    </w:p>
    <w:p>
      <w:pPr>
        <w:outlineLvl w:val="2"/>
        <w:rPr>
          <w:color w:val="auto"/>
          <w:highlight w:val="none"/>
        </w:rPr>
      </w:pPr>
      <w:bookmarkStart w:id="279" w:name="_Toc277852758"/>
      <w:bookmarkStart w:id="280" w:name="_Toc238866307"/>
      <w:bookmarkStart w:id="281" w:name="_Toc484019001"/>
      <w:bookmarkStart w:id="282" w:name="_Toc528273617"/>
      <w:r>
        <w:rPr>
          <w:color w:val="auto"/>
          <w:highlight w:val="none"/>
        </w:rPr>
        <w:t>A.2 配置文件 (DL/T 860.6)</w:t>
      </w:r>
      <w:bookmarkEnd w:id="279"/>
      <w:bookmarkEnd w:id="280"/>
      <w:bookmarkEnd w:id="281"/>
      <w:bookmarkEnd w:id="28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配置文件测试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DL/T860.4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被测客户端配置文件符合标准要求。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 客户端能够解析SCL文件中配置的数据名称、数据类型；</w:t>
            </w:r>
          </w:p>
          <w:p>
            <w:pPr>
              <w:pStyle w:val="198"/>
              <w:spacing w:before="0" w:after="0"/>
              <w:rPr>
                <w:rFonts w:ascii="宋体" w:eastAsia="Times New Roman"/>
                <w:color w:val="auto"/>
                <w:highlight w:val="none"/>
              </w:rPr>
            </w:pPr>
            <w:r>
              <w:rPr>
                <w:rFonts w:ascii="宋体" w:hAnsi="宋体"/>
                <w:color w:val="auto"/>
                <w:highlight w:val="none"/>
              </w:rPr>
              <w:t>2. 客户端能够导入SCD文件生成配置，并在动态模型中变更相关用户配置参数；</w:t>
            </w:r>
          </w:p>
          <w:p>
            <w:pPr>
              <w:widowControl/>
              <w:rPr>
                <w:rFonts w:ascii="宋体" w:eastAsia="Times New Roman"/>
                <w:color w:val="auto"/>
                <w:spacing w:val="8"/>
                <w:kern w:val="0"/>
                <w:highlight w:val="none"/>
                <w:lang w:val="en-GB"/>
              </w:rPr>
            </w:pPr>
            <w:r>
              <w:rPr>
                <w:rFonts w:ascii="宋体" w:hAnsi="宋体"/>
                <w:color w:val="auto"/>
                <w:spacing w:val="8"/>
                <w:kern w:val="0"/>
                <w:highlight w:val="none"/>
                <w:lang w:val="en-GB"/>
              </w:rPr>
              <w:t>3</w:t>
            </w:r>
            <w:r>
              <w:rPr>
                <w:rFonts w:hint="eastAsia" w:ascii="宋体" w:hAnsi="宋体"/>
                <w:color w:val="auto"/>
                <w:spacing w:val="8"/>
                <w:kern w:val="0"/>
                <w:highlight w:val="none"/>
                <w:lang w:val="en-GB"/>
              </w:rPr>
              <w:t>. 客户端能够分析SCD文件中IED的ConfigRev与服务器中LLN0.NamPlt.configRev，侦测两者不匹配的情况。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 检查被测设备是否能够处理SCD文件中配置的数据名称、数据类型</w:t>
            </w:r>
          </w:p>
          <w:p>
            <w:pPr>
              <w:pStyle w:val="198"/>
              <w:spacing w:before="0" w:after="0"/>
              <w:rPr>
                <w:rFonts w:ascii="宋体" w:eastAsia="Times New Roman"/>
                <w:color w:val="auto"/>
                <w:highlight w:val="none"/>
              </w:rPr>
            </w:pPr>
            <w:r>
              <w:rPr>
                <w:rFonts w:ascii="宋体" w:hAnsi="宋体"/>
                <w:color w:val="auto"/>
                <w:highlight w:val="none"/>
              </w:rPr>
              <w:t>2.在SCD 配置文件中，改变至少5个可在被测设备中显示的参数，检查被测设备中相应参数在使用改变参数后的SCD配置文件是否更新。恢复原始的SCD文件并重新配置被测设备回到初始状态</w:t>
            </w:r>
          </w:p>
          <w:p>
            <w:pPr>
              <w:pStyle w:val="198"/>
              <w:spacing w:before="0" w:after="0"/>
              <w:rPr>
                <w:rFonts w:ascii="宋体" w:eastAsia="Times New Roman"/>
                <w:color w:val="auto"/>
                <w:highlight w:val="none"/>
              </w:rPr>
            </w:pPr>
            <w:r>
              <w:rPr>
                <w:rFonts w:ascii="宋体" w:hAnsi="宋体"/>
                <w:color w:val="auto"/>
                <w:highlight w:val="none"/>
              </w:rPr>
              <w:t>3.检查被测设备能够分析SCD文件中IED的ConfigRev与服务器中LLN0.NamPlt.configRev。当两者不匹配时被测设备能够按PIXIT处理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bl>
    <w:p>
      <w:pPr>
        <w:rPr>
          <w:color w:val="auto"/>
          <w:highlight w:val="none"/>
        </w:rPr>
      </w:pPr>
    </w:p>
    <w:p>
      <w:pPr>
        <w:outlineLvl w:val="2"/>
        <w:rPr>
          <w:color w:val="auto"/>
          <w:highlight w:val="none"/>
        </w:rPr>
      </w:pPr>
      <w:bookmarkStart w:id="283" w:name="_Toc528273618"/>
      <w:bookmarkStart w:id="284" w:name="_Toc484019002"/>
      <w:r>
        <w:rPr>
          <w:color w:val="auto"/>
          <w:highlight w:val="none"/>
        </w:rPr>
        <w:t>A.3 数据模型 (DL/T 860.73 和 DL/T 860.74)</w:t>
      </w:r>
      <w:bookmarkEnd w:id="283"/>
      <w:bookmarkEnd w:id="284"/>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数据模型测试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 xml:space="preserve">DL/T 860.73 </w:t>
            </w:r>
            <w:r>
              <w:rPr>
                <w:rFonts w:hint="eastAsia"/>
                <w:color w:val="auto"/>
                <w:highlight w:val="none"/>
              </w:rPr>
              <w:t>和</w:t>
            </w:r>
            <w:r>
              <w:rPr>
                <w:color w:val="auto"/>
                <w:highlight w:val="none"/>
              </w:rPr>
              <w:t xml:space="preserve"> DL/T 860.74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被测客户端数据模型符合标准要求。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w:t>
            </w:r>
            <w:r>
              <w:rPr>
                <w:rFonts w:ascii="宋体"/>
                <w:color w:val="auto"/>
                <w:highlight w:val="none"/>
              </w:rPr>
              <w:t>.</w:t>
            </w:r>
            <w:r>
              <w:rPr>
                <w:rFonts w:ascii="宋体" w:hAnsi="宋体"/>
                <w:color w:val="auto"/>
                <w:highlight w:val="none"/>
              </w:rPr>
              <w:t xml:space="preserve"> 客户端能够正确处理最大名称长度，以及扩充的数据对象符合标准要求；</w:t>
            </w:r>
          </w:p>
          <w:p>
            <w:pPr>
              <w:pStyle w:val="198"/>
              <w:spacing w:before="0" w:after="0"/>
              <w:rPr>
                <w:rFonts w:ascii="宋体" w:eastAsia="Times New Roman"/>
                <w:color w:val="auto"/>
                <w:highlight w:val="none"/>
              </w:rPr>
            </w:pPr>
            <w:r>
              <w:rPr>
                <w:rFonts w:ascii="宋体" w:hAnsi="宋体"/>
                <w:color w:val="auto"/>
                <w:highlight w:val="none"/>
              </w:rPr>
              <w:t>2. 客户端支持报告控制块、定值控制块、日志和GOOSE控制的命名规则。</w:t>
            </w:r>
          </w:p>
          <w:p>
            <w:pPr>
              <w:pStyle w:val="198"/>
              <w:spacing w:before="0" w:after="0"/>
              <w:rPr>
                <w:rFonts w:ascii="宋体" w:eastAsia="Times New Roman"/>
                <w:color w:val="auto"/>
                <w:highlight w:val="none"/>
              </w:rPr>
            </w:pPr>
            <w:r>
              <w:rPr>
                <w:rFonts w:ascii="宋体" w:hAnsi="宋体"/>
                <w:color w:val="auto"/>
                <w:highlight w:val="none"/>
              </w:rPr>
              <w:t>3. 客户端支持7-3标准和MICS中CDC以及强制、可选属性。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1.检查被测设备能够正确处理最大名称长度，以及扩充的数据对象如SDOs（PIXIT）；</w:t>
            </w:r>
          </w:p>
          <w:p>
            <w:pPr>
              <w:pStyle w:val="198"/>
              <w:spacing w:before="0" w:after="0"/>
              <w:rPr>
                <w:rFonts w:ascii="宋体" w:eastAsia="Times New Roman"/>
                <w:color w:val="auto"/>
                <w:highlight w:val="none"/>
              </w:rPr>
            </w:pPr>
            <w:r>
              <w:rPr>
                <w:rFonts w:ascii="宋体" w:hAnsi="宋体"/>
                <w:color w:val="auto"/>
                <w:highlight w:val="none"/>
              </w:rPr>
              <w:t>2.检查被测设备支持以下控制块的命名规则：</w:t>
            </w:r>
          </w:p>
          <w:p>
            <w:pPr>
              <w:pStyle w:val="198"/>
              <w:spacing w:before="0" w:after="0"/>
              <w:rPr>
                <w:rFonts w:ascii="宋体" w:hAnsi="宋体"/>
                <w:color w:val="auto"/>
                <w:highlight w:val="none"/>
              </w:rPr>
            </w:pPr>
            <w:r>
              <w:rPr>
                <w:rFonts w:ascii="宋体" w:hAnsi="宋体"/>
                <w:color w:val="auto"/>
                <w:highlight w:val="none"/>
              </w:rPr>
              <w:t xml:space="preserve">a) unbuffered report control block – not indexed </w:t>
            </w:r>
          </w:p>
          <w:p>
            <w:pPr>
              <w:pStyle w:val="198"/>
              <w:spacing w:before="0" w:after="0"/>
              <w:rPr>
                <w:rFonts w:ascii="宋体" w:hAnsi="宋体"/>
                <w:color w:val="auto"/>
                <w:highlight w:val="none"/>
              </w:rPr>
            </w:pPr>
            <w:r>
              <w:rPr>
                <w:rFonts w:ascii="宋体" w:hAnsi="宋体"/>
                <w:color w:val="auto"/>
                <w:highlight w:val="none"/>
              </w:rPr>
              <w:t xml:space="preserve">b) unbuffered report control block – indexed </w:t>
            </w:r>
          </w:p>
          <w:p>
            <w:pPr>
              <w:pStyle w:val="198"/>
              <w:spacing w:before="0" w:after="0"/>
              <w:rPr>
                <w:rFonts w:ascii="宋体" w:hAnsi="宋体"/>
                <w:color w:val="auto"/>
                <w:highlight w:val="none"/>
              </w:rPr>
            </w:pPr>
            <w:r>
              <w:rPr>
                <w:rFonts w:ascii="宋体" w:hAnsi="宋体"/>
                <w:color w:val="auto"/>
                <w:highlight w:val="none"/>
              </w:rPr>
              <w:t xml:space="preserve">c) buffered report control blocks </w:t>
            </w:r>
          </w:p>
          <w:p>
            <w:pPr>
              <w:pStyle w:val="198"/>
              <w:spacing w:before="0" w:after="0"/>
              <w:rPr>
                <w:rFonts w:ascii="宋体" w:hAnsi="宋体"/>
                <w:color w:val="auto"/>
                <w:highlight w:val="none"/>
              </w:rPr>
            </w:pPr>
            <w:r>
              <w:rPr>
                <w:rFonts w:ascii="宋体" w:hAnsi="宋体"/>
                <w:color w:val="auto"/>
                <w:highlight w:val="none"/>
              </w:rPr>
              <w:t xml:space="preserve">d) setting group control block </w:t>
            </w:r>
          </w:p>
          <w:p>
            <w:pPr>
              <w:pStyle w:val="198"/>
              <w:spacing w:before="0" w:after="0"/>
              <w:rPr>
                <w:rFonts w:ascii="宋体" w:hAnsi="宋体"/>
                <w:color w:val="auto"/>
                <w:highlight w:val="none"/>
              </w:rPr>
            </w:pPr>
            <w:r>
              <w:rPr>
                <w:rFonts w:ascii="宋体" w:hAnsi="宋体"/>
                <w:color w:val="auto"/>
                <w:highlight w:val="none"/>
              </w:rPr>
              <w:t xml:space="preserve">e) GOOSE control block </w:t>
            </w:r>
          </w:p>
          <w:p>
            <w:pPr>
              <w:pStyle w:val="198"/>
              <w:spacing w:before="0" w:after="0"/>
              <w:rPr>
                <w:rFonts w:ascii="宋体" w:hAnsi="宋体"/>
                <w:color w:val="auto"/>
                <w:highlight w:val="none"/>
              </w:rPr>
            </w:pPr>
            <w:r>
              <w:rPr>
                <w:rFonts w:ascii="宋体" w:hAnsi="宋体"/>
                <w:color w:val="auto"/>
                <w:highlight w:val="none"/>
              </w:rPr>
              <w:t>f) Log control block</w:t>
            </w:r>
          </w:p>
          <w:p>
            <w:pPr>
              <w:pStyle w:val="198"/>
              <w:spacing w:before="0" w:after="0"/>
              <w:rPr>
                <w:rFonts w:ascii="宋体" w:eastAsia="Times New Roman"/>
                <w:color w:val="auto"/>
                <w:highlight w:val="none"/>
              </w:rPr>
            </w:pPr>
            <w:r>
              <w:rPr>
                <w:rFonts w:ascii="宋体" w:hAnsi="宋体"/>
                <w:color w:val="auto"/>
                <w:highlight w:val="none"/>
              </w:rPr>
              <w:t>3.检查被测设备除了能够导入在MICS中声明的CDC类型外，还能导入7-3标准中定义CDC的强制和可选属性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bl>
    <w:p>
      <w:pPr>
        <w:pStyle w:val="93"/>
        <w:ind w:firstLine="0" w:firstLineChars="0"/>
        <w:rPr>
          <w:rFonts w:eastAsia="Times New Roman"/>
          <w:color w:val="auto"/>
          <w:highlight w:val="none"/>
        </w:rPr>
      </w:pPr>
    </w:p>
    <w:p>
      <w:pPr>
        <w:outlineLvl w:val="2"/>
        <w:rPr>
          <w:rFonts w:ascii="宋体" w:eastAsia="Times New Roman"/>
          <w:color w:val="auto"/>
          <w:highlight w:val="none"/>
        </w:rPr>
      </w:pPr>
      <w:bookmarkStart w:id="285" w:name="_Toc484019003"/>
      <w:bookmarkStart w:id="286" w:name="_Toc528273619"/>
      <w:r>
        <w:rPr>
          <w:color w:val="auto"/>
          <w:highlight w:val="none"/>
        </w:rPr>
        <w:t xml:space="preserve">A.4 </w:t>
      </w:r>
      <w:r>
        <w:rPr>
          <w:rFonts w:hint="eastAsia" w:ascii="宋体" w:hAnsi="宋体"/>
          <w:color w:val="auto"/>
          <w:highlight w:val="none"/>
        </w:rPr>
        <w:t>应用关联测试</w:t>
      </w:r>
      <w:bookmarkEnd w:id="285"/>
      <w:bookmarkEnd w:id="28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应用关联测试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被测客户端应用关联符合标准要求。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1.被测客户端在一个服务器的关联丢失后能恢复关联，并不影响其它服务器的已激活关联；</w:t>
            </w:r>
          </w:p>
          <w:p>
            <w:pPr>
              <w:pStyle w:val="198"/>
              <w:spacing w:before="0" w:after="0"/>
              <w:rPr>
                <w:rFonts w:ascii="宋体" w:eastAsia="Times New Roman"/>
                <w:color w:val="auto"/>
                <w:highlight w:val="none"/>
              </w:rPr>
            </w:pPr>
            <w:r>
              <w:rPr>
                <w:rFonts w:ascii="宋体" w:hAnsi="宋体"/>
                <w:color w:val="auto"/>
                <w:highlight w:val="none"/>
              </w:rPr>
              <w:t>2.被测客户端能够处理最小和最大MMS PDUsize的报文，客户端能够持续建议它的初始MMS PDUsize；</w:t>
            </w:r>
          </w:p>
          <w:p>
            <w:pPr>
              <w:pStyle w:val="198"/>
              <w:spacing w:before="0" w:after="0"/>
              <w:rPr>
                <w:rFonts w:ascii="宋体" w:eastAsia="Times New Roman"/>
                <w:color w:val="auto"/>
                <w:highlight w:val="none"/>
              </w:rPr>
            </w:pPr>
            <w:r>
              <w:rPr>
                <w:rFonts w:ascii="宋体" w:hAnsi="宋体"/>
                <w:color w:val="auto"/>
                <w:highlight w:val="none"/>
              </w:rPr>
              <w:t>3.关联，服务器由于AccessPointReference错误而回复否定应答；</w:t>
            </w:r>
          </w:p>
          <w:p>
            <w:pPr>
              <w:pStyle w:val="198"/>
              <w:spacing w:before="0" w:after="0"/>
              <w:rPr>
                <w:rFonts w:ascii="宋体" w:eastAsia="Times New Roman"/>
                <w:color w:val="auto"/>
                <w:highlight w:val="none"/>
              </w:rPr>
            </w:pPr>
            <w:r>
              <w:rPr>
                <w:rFonts w:ascii="宋体" w:hAnsi="宋体"/>
                <w:color w:val="auto"/>
                <w:highlight w:val="none"/>
              </w:rPr>
              <w:t>4.关联，服务器由于AuthenticationParameter认证参数错误而回复否定应答；</w:t>
            </w:r>
          </w:p>
          <w:p>
            <w:pPr>
              <w:pStyle w:val="198"/>
              <w:spacing w:before="0" w:after="0"/>
              <w:rPr>
                <w:rFonts w:ascii="宋体" w:eastAsia="Times New Roman"/>
                <w:color w:val="auto"/>
                <w:highlight w:val="none"/>
              </w:rPr>
            </w:pPr>
            <w:r>
              <w:rPr>
                <w:rFonts w:ascii="宋体" w:hAnsi="宋体"/>
                <w:color w:val="auto"/>
                <w:highlight w:val="none"/>
              </w:rPr>
              <w:t>5.关联，服务器释放TPAA连接(IEC61850-7-2, 7.4)。客户端应能在配置的周期内（PIXIT）重新建立关联</w:t>
            </w:r>
          </w:p>
          <w:p>
            <w:pPr>
              <w:pStyle w:val="198"/>
              <w:spacing w:before="0" w:after="0"/>
              <w:rPr>
                <w:rFonts w:ascii="宋体" w:eastAsia="Times New Roman"/>
                <w:color w:val="auto"/>
                <w:highlight w:val="none"/>
              </w:rPr>
            </w:pPr>
            <w:r>
              <w:rPr>
                <w:rFonts w:ascii="宋体" w:hAnsi="宋体"/>
                <w:color w:val="auto"/>
                <w:highlight w:val="none"/>
              </w:rPr>
              <w:t>6.关联，服务器AbortTPAA关联(IEC61850-7-2, 7.4)，客户端应能在配置的周期内（PIXIT）重新建立关联</w:t>
            </w:r>
          </w:p>
          <w:p>
            <w:pPr>
              <w:pStyle w:val="198"/>
              <w:spacing w:before="0" w:after="0"/>
              <w:rPr>
                <w:rFonts w:ascii="宋体" w:eastAsia="Times New Roman"/>
                <w:color w:val="auto"/>
                <w:highlight w:val="none"/>
              </w:rPr>
            </w:pPr>
            <w:r>
              <w:rPr>
                <w:rFonts w:ascii="宋体" w:hAnsi="宋体"/>
                <w:color w:val="auto"/>
                <w:highlight w:val="none"/>
              </w:rPr>
              <w:t>7.关联，服务器拒绝TPAA关联(IEC61850-7-2, 7.4)，客户端应能在配置的周期内（PIXIT）重新建立关联</w:t>
            </w:r>
          </w:p>
          <w:p>
            <w:pPr>
              <w:pStyle w:val="198"/>
              <w:spacing w:before="0" w:after="0"/>
              <w:rPr>
                <w:rFonts w:ascii="宋体" w:eastAsia="Times New Roman"/>
                <w:color w:val="auto"/>
                <w:highlight w:val="none"/>
              </w:rPr>
            </w:pPr>
            <w:r>
              <w:rPr>
                <w:rFonts w:ascii="宋体" w:hAnsi="宋体"/>
                <w:color w:val="auto"/>
                <w:highlight w:val="none"/>
              </w:rPr>
              <w:t>8．断开服务器和交换机的网络连接，保持客户端和交换机的链路激活。客户端应能在特定周期内检测出链路中断。一旦链路重新建立，客户端应尝试重新建立关联</w:t>
            </w:r>
          </w:p>
          <w:p>
            <w:pPr>
              <w:pStyle w:val="198"/>
              <w:spacing w:before="0" w:after="0"/>
              <w:rPr>
                <w:rFonts w:ascii="宋体" w:eastAsia="Times New Roman"/>
                <w:color w:val="auto"/>
                <w:highlight w:val="none"/>
              </w:rPr>
            </w:pPr>
            <w:r>
              <w:rPr>
                <w:rFonts w:ascii="宋体" w:hAnsi="宋体"/>
                <w:color w:val="auto"/>
                <w:highlight w:val="none"/>
              </w:rPr>
              <w:t>9.关闭并恢复电源，客户端应在就绪后建立所有已配置的关联连接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1.关联并强制客户端释放一个TPAA关联(IEC 61850-7-2, 7.4)；</w:t>
            </w:r>
          </w:p>
          <w:p>
            <w:pPr>
              <w:pStyle w:val="198"/>
              <w:spacing w:before="0" w:after="0"/>
              <w:rPr>
                <w:rFonts w:ascii="宋体" w:eastAsia="Times New Roman"/>
                <w:color w:val="auto"/>
                <w:highlight w:val="none"/>
              </w:rPr>
            </w:pPr>
            <w:r>
              <w:rPr>
                <w:rFonts w:ascii="宋体" w:hAnsi="宋体"/>
                <w:color w:val="auto"/>
                <w:highlight w:val="none"/>
              </w:rPr>
              <w:t>2.强制客户端同时关联最大数目的服务器（PIXIT）；</w:t>
            </w:r>
          </w:p>
          <w:p>
            <w:pPr>
              <w:pStyle w:val="198"/>
              <w:spacing w:before="0" w:after="0"/>
              <w:rPr>
                <w:rFonts w:ascii="宋体" w:eastAsia="Times New Roman"/>
                <w:color w:val="auto"/>
                <w:highlight w:val="none"/>
              </w:rPr>
            </w:pPr>
            <w:r>
              <w:rPr>
                <w:rFonts w:ascii="宋体" w:hAnsi="宋体"/>
                <w:color w:val="auto"/>
                <w:highlight w:val="none"/>
              </w:rPr>
              <w:t>3.检查客户端在一个服务器的关联丢失后能恢复关联，并不影响其它服务器的已激活关联；</w:t>
            </w:r>
          </w:p>
          <w:p>
            <w:pPr>
              <w:pStyle w:val="198"/>
              <w:spacing w:before="0" w:after="0"/>
              <w:rPr>
                <w:rFonts w:ascii="宋体" w:eastAsia="Times New Roman"/>
                <w:color w:val="auto"/>
                <w:highlight w:val="none"/>
              </w:rPr>
            </w:pPr>
            <w:r>
              <w:rPr>
                <w:rFonts w:ascii="宋体" w:hAnsi="宋体"/>
                <w:color w:val="auto"/>
                <w:highlight w:val="none"/>
              </w:rPr>
              <w:t>4.检查客户端能够处理最小和最大MMS PDUsize的报文，客户端能够持续建议它的初始MMS PDUsize；</w:t>
            </w:r>
          </w:p>
          <w:p>
            <w:pPr>
              <w:pStyle w:val="198"/>
              <w:spacing w:before="0" w:after="0"/>
              <w:rPr>
                <w:rFonts w:ascii="宋体" w:eastAsia="Times New Roman"/>
                <w:color w:val="auto"/>
                <w:highlight w:val="none"/>
              </w:rPr>
            </w:pPr>
            <w:r>
              <w:rPr>
                <w:rFonts w:ascii="宋体" w:hAnsi="宋体"/>
                <w:color w:val="auto"/>
                <w:highlight w:val="none"/>
              </w:rPr>
              <w:t>5．关联，服务器由于AccessPointReference错误而回复否定应答；</w:t>
            </w:r>
          </w:p>
          <w:p>
            <w:pPr>
              <w:pStyle w:val="198"/>
              <w:spacing w:before="0" w:after="0"/>
              <w:rPr>
                <w:rFonts w:ascii="宋体" w:eastAsia="Times New Roman"/>
                <w:color w:val="auto"/>
                <w:highlight w:val="none"/>
              </w:rPr>
            </w:pPr>
            <w:r>
              <w:rPr>
                <w:rFonts w:ascii="宋体" w:hAnsi="宋体"/>
                <w:color w:val="auto"/>
                <w:highlight w:val="none"/>
              </w:rPr>
              <w:t>6.关联，服务器由于AuthenticationParameter认证参数错误而回复否定应答；</w:t>
            </w:r>
          </w:p>
          <w:p>
            <w:pPr>
              <w:pStyle w:val="198"/>
              <w:spacing w:before="0" w:after="0"/>
              <w:rPr>
                <w:rFonts w:ascii="宋体" w:eastAsia="Times New Roman"/>
                <w:color w:val="auto"/>
                <w:highlight w:val="none"/>
              </w:rPr>
            </w:pPr>
            <w:r>
              <w:rPr>
                <w:rFonts w:ascii="宋体" w:hAnsi="宋体"/>
                <w:color w:val="auto"/>
                <w:highlight w:val="none"/>
              </w:rPr>
              <w:t>7.关联，服务器释放TPAA连接(IEC61850-7-2, 7.4)。客户端应能在配置的周期内（PIXIT）重新建立关联；</w:t>
            </w:r>
          </w:p>
          <w:p>
            <w:pPr>
              <w:pStyle w:val="198"/>
              <w:spacing w:before="0" w:after="0"/>
              <w:rPr>
                <w:rFonts w:ascii="宋体" w:eastAsia="Times New Roman"/>
                <w:color w:val="auto"/>
                <w:highlight w:val="none"/>
              </w:rPr>
            </w:pPr>
            <w:r>
              <w:rPr>
                <w:rFonts w:ascii="宋体" w:hAnsi="宋体"/>
                <w:color w:val="auto"/>
                <w:highlight w:val="none"/>
              </w:rPr>
              <w:t>8．关联，服务器AbortTPAA关联(IEC61850-7-2, 7.4)，客户端应能在配置的周期内（PIXIT）重新建立关联；</w:t>
            </w:r>
          </w:p>
          <w:p>
            <w:pPr>
              <w:pStyle w:val="198"/>
              <w:spacing w:before="0" w:after="0"/>
              <w:rPr>
                <w:rFonts w:ascii="宋体" w:eastAsia="Times New Roman"/>
                <w:color w:val="auto"/>
                <w:highlight w:val="none"/>
              </w:rPr>
            </w:pPr>
            <w:r>
              <w:rPr>
                <w:rFonts w:ascii="宋体" w:hAnsi="宋体"/>
                <w:color w:val="auto"/>
                <w:highlight w:val="none"/>
              </w:rPr>
              <w:t>9.关联，服务器拒绝TPAA关联(IEC61850-7-2, 7.4)，客户端应能在配置的周期内（PIXIT）重新建立关联；</w:t>
            </w:r>
          </w:p>
          <w:p>
            <w:pPr>
              <w:pStyle w:val="198"/>
              <w:spacing w:before="0" w:after="0"/>
              <w:rPr>
                <w:rFonts w:ascii="宋体" w:eastAsia="Times New Roman"/>
                <w:color w:val="auto"/>
                <w:highlight w:val="none"/>
              </w:rPr>
            </w:pPr>
            <w:r>
              <w:rPr>
                <w:rFonts w:ascii="宋体" w:hAnsi="宋体"/>
                <w:color w:val="auto"/>
                <w:highlight w:val="none"/>
              </w:rPr>
              <w:t>10.断开服务器和交换机的网络连接，保持客户端和交换机的链路激活。客户端应能在特定周期内检测出链路中断。一旦链路重新建立，客户端应尝试重新建立关联；</w:t>
            </w:r>
          </w:p>
          <w:p>
            <w:pPr>
              <w:pStyle w:val="198"/>
              <w:spacing w:before="0" w:after="0"/>
              <w:rPr>
                <w:rFonts w:ascii="宋体" w:eastAsia="Times New Roman"/>
                <w:color w:val="auto"/>
                <w:highlight w:val="none"/>
              </w:rPr>
            </w:pPr>
            <w:r>
              <w:rPr>
                <w:rFonts w:ascii="宋体" w:hAnsi="宋体"/>
                <w:color w:val="auto"/>
                <w:highlight w:val="none"/>
              </w:rPr>
              <w:t>11.关闭并恢复电源，客户端应在就绪后建立所有已配置的关联连接。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bl>
    <w:p>
      <w:pPr>
        <w:rPr>
          <w:rFonts w:ascii="仿宋_GB2312" w:eastAsia="仿宋_GB2312"/>
          <w:color w:val="auto"/>
          <w:highlight w:val="none"/>
        </w:rPr>
      </w:pPr>
    </w:p>
    <w:p>
      <w:pPr>
        <w:outlineLvl w:val="2"/>
        <w:rPr>
          <w:color w:val="auto"/>
          <w:highlight w:val="none"/>
        </w:rPr>
      </w:pPr>
      <w:bookmarkStart w:id="287" w:name="_Toc528273620"/>
      <w:bookmarkStart w:id="288" w:name="_Toc238866311"/>
      <w:bookmarkStart w:id="289" w:name="_Toc484019004"/>
      <w:r>
        <w:rPr>
          <w:rFonts w:hint="eastAsia"/>
          <w:color w:val="auto"/>
          <w:highlight w:val="none"/>
        </w:rPr>
        <w:t>A.5 服务器/逻辑设备/逻辑节点/数据</w:t>
      </w:r>
      <w:bookmarkEnd w:id="287"/>
      <w:bookmarkEnd w:id="288"/>
      <w:bookmarkEnd w:id="28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highlight w:val="none"/>
              </w:rPr>
              <w:t>服务器/逻辑设备/逻辑节点/数据</w:t>
            </w:r>
            <w:r>
              <w:rPr>
                <w:rFonts w:hint="eastAsia"/>
                <w:color w:val="auto"/>
                <w:highlight w:val="none"/>
              </w:rPr>
              <w:t>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被测客户端应用关联符合标准要求。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widowControl/>
              <w:spacing w:before="40" w:after="40"/>
              <w:rPr>
                <w:rFonts w:ascii="宋体" w:eastAsia="Times New Roman"/>
                <w:color w:val="auto"/>
                <w:spacing w:val="8"/>
                <w:kern w:val="0"/>
                <w:highlight w:val="none"/>
                <w:lang w:val="en-GB"/>
              </w:rPr>
            </w:pPr>
            <w:r>
              <w:rPr>
                <w:rFonts w:hint="eastAsia" w:ascii="宋体" w:hAnsi="宋体"/>
                <w:color w:val="auto"/>
                <w:kern w:val="0"/>
                <w:highlight w:val="none"/>
              </w:rPr>
              <w:t xml:space="preserve">1. </w:t>
            </w:r>
            <w:r>
              <w:rPr>
                <w:rFonts w:hint="eastAsia" w:ascii="宋体" w:hAnsi="宋体"/>
                <w:color w:val="auto"/>
                <w:spacing w:val="8"/>
                <w:kern w:val="0"/>
                <w:highlight w:val="none"/>
                <w:lang w:val="en-GB"/>
              </w:rPr>
              <w:t>客户端能够启动自描述，客户端请求GetServerDirectory(LOGICAL-DEVICE)到所有的配置服务器的逻辑设备</w:t>
            </w:r>
          </w:p>
          <w:p>
            <w:pPr>
              <w:widowControl/>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2. 客户端能够启动自描述，对于每个GetServerDirectory(LOGICAL-DEVICE)的响应，客户端能够发送GetLogicalNodeDirectory(DATA)请求</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3</w:t>
            </w:r>
            <w:r>
              <w:rPr>
                <w:rFonts w:hint="eastAsia" w:ascii="宋体"/>
                <w:color w:val="auto"/>
                <w:spacing w:val="8"/>
                <w:kern w:val="0"/>
                <w:highlight w:val="none"/>
                <w:lang w:val="en-GB"/>
              </w:rPr>
              <w:t>.</w:t>
            </w:r>
            <w:r>
              <w:rPr>
                <w:rFonts w:hint="eastAsia" w:ascii="宋体" w:hAnsi="宋体"/>
                <w:color w:val="auto"/>
                <w:spacing w:val="8"/>
                <w:kern w:val="0"/>
                <w:highlight w:val="none"/>
                <w:lang w:val="en-GB"/>
              </w:rPr>
              <w:t xml:space="preserve"> 客户端能够启动自描述，对于每个GetLogicalDeviceDirectory的响应，客户端能够发送GetLogicalNodeDirectory(DATA)请求</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4. 客户端能够启动自描述，对于GetLogicalNodeDirectory(DATA)响应的子集，能够发送至少以下一种服务：</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a）</w:t>
            </w:r>
            <w:r>
              <w:rPr>
                <w:rFonts w:ascii="宋体" w:eastAsia="Times New Roman"/>
                <w:color w:val="auto"/>
                <w:spacing w:val="8"/>
                <w:kern w:val="0"/>
                <w:highlight w:val="none"/>
                <w:lang w:val="en-GB"/>
              </w:rPr>
              <w:tab/>
            </w:r>
            <w:r>
              <w:rPr>
                <w:rFonts w:hint="eastAsia" w:ascii="宋体" w:hAnsi="宋体"/>
                <w:color w:val="auto"/>
                <w:spacing w:val="8"/>
                <w:kern w:val="0"/>
                <w:highlight w:val="none"/>
                <w:lang w:val="en-GB"/>
              </w:rPr>
              <w:t>GetDataDirectory请求，检查响应(IEC 61850-7-2, 10.4.4)</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b）</w:t>
            </w:r>
            <w:r>
              <w:rPr>
                <w:rFonts w:ascii="宋体" w:eastAsia="Times New Roman"/>
                <w:color w:val="auto"/>
                <w:spacing w:val="8"/>
                <w:kern w:val="0"/>
                <w:highlight w:val="none"/>
                <w:lang w:val="en-GB"/>
              </w:rPr>
              <w:tab/>
            </w:r>
            <w:r>
              <w:rPr>
                <w:rFonts w:hint="eastAsia" w:ascii="宋体" w:hAnsi="宋体"/>
                <w:color w:val="auto"/>
                <w:spacing w:val="8"/>
                <w:kern w:val="0"/>
                <w:highlight w:val="none"/>
                <w:lang w:val="en-GB"/>
              </w:rPr>
              <w:t>GetDataDefinition请求，检查响应(IEC 61850-7-2, 10.4.5)</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5.启动后，客户端能够更新已配置服务器（见备注2）的过程采集值</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6.客户端能对不同的基本类型（如FC=CF）进行SetDataValues请求</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7. 客户端能对特定的功能约束发送GetAllDataValues请求，更新其数据模型(IEC 61850-7-2, 9.2.3)</w:t>
            </w:r>
          </w:p>
          <w:p>
            <w:pPr>
              <w:spacing w:before="40" w:after="40"/>
              <w:jc w:val="left"/>
              <w:rPr>
                <w:rFonts w:ascii="宋体" w:eastAsia="Times New Roman"/>
                <w:color w:val="auto"/>
                <w:highlight w:val="none"/>
              </w:rPr>
            </w:pPr>
            <w:r>
              <w:rPr>
                <w:rFonts w:hint="eastAsia" w:ascii="宋体" w:hAnsi="宋体"/>
                <w:color w:val="auto"/>
                <w:highlight w:val="none"/>
              </w:rPr>
              <w:t>8</w:t>
            </w:r>
            <w:r>
              <w:rPr>
                <w:rFonts w:hint="eastAsia" w:ascii="宋体"/>
                <w:color w:val="auto"/>
                <w:highlight w:val="none"/>
              </w:rPr>
              <w:t>.</w:t>
            </w:r>
            <w:r>
              <w:rPr>
                <w:rFonts w:hint="eastAsia" w:ascii="宋体" w:hAnsi="宋体"/>
                <w:color w:val="auto"/>
                <w:highlight w:val="none"/>
              </w:rPr>
              <w:t>如果客户端支持自描述，能够触发其启动自描述过程并检查客户端当遇到以下服务的否定响应时仍能够与其它服务器通信</w:t>
            </w:r>
          </w:p>
          <w:p>
            <w:pPr>
              <w:spacing w:before="40" w:after="40"/>
              <w:jc w:val="left"/>
              <w:rPr>
                <w:rFonts w:ascii="宋体" w:hAnsi="宋体"/>
                <w:color w:val="auto"/>
                <w:highlight w:val="none"/>
              </w:rPr>
            </w:pPr>
            <w:r>
              <w:rPr>
                <w:rFonts w:hint="eastAsia" w:ascii="宋体" w:hAnsi="宋体"/>
                <w:color w:val="auto"/>
                <w:highlight w:val="none"/>
              </w:rPr>
              <w:t>a) GetServerDirectory(LOGICAL-DEVICE),</w:t>
            </w:r>
          </w:p>
          <w:p>
            <w:pPr>
              <w:spacing w:before="40" w:after="40"/>
              <w:jc w:val="left"/>
              <w:rPr>
                <w:rFonts w:ascii="宋体" w:hAnsi="宋体"/>
                <w:color w:val="auto"/>
                <w:highlight w:val="none"/>
              </w:rPr>
            </w:pPr>
            <w:r>
              <w:rPr>
                <w:rFonts w:hint="eastAsia" w:ascii="宋体" w:hAnsi="宋体"/>
                <w:color w:val="auto"/>
                <w:highlight w:val="none"/>
              </w:rPr>
              <w:t>b) GetLogicalDeviceDirectory,</w:t>
            </w:r>
          </w:p>
          <w:p>
            <w:pPr>
              <w:spacing w:before="40" w:after="40"/>
              <w:jc w:val="left"/>
              <w:rPr>
                <w:rFonts w:ascii="宋体" w:hAnsi="宋体"/>
                <w:color w:val="auto"/>
                <w:highlight w:val="none"/>
              </w:rPr>
            </w:pPr>
            <w:r>
              <w:rPr>
                <w:rFonts w:hint="eastAsia" w:ascii="宋体" w:hAnsi="宋体"/>
                <w:color w:val="auto"/>
                <w:highlight w:val="none"/>
              </w:rPr>
              <w:t>c) GetLogicalNodeDirectory(DATA),</w:t>
            </w:r>
          </w:p>
          <w:p>
            <w:pPr>
              <w:spacing w:before="40" w:after="40"/>
              <w:jc w:val="left"/>
              <w:rPr>
                <w:rFonts w:ascii="宋体" w:hAnsi="宋体"/>
                <w:color w:val="auto"/>
                <w:highlight w:val="none"/>
              </w:rPr>
            </w:pPr>
            <w:r>
              <w:rPr>
                <w:rFonts w:hint="eastAsia" w:ascii="宋体" w:hAnsi="宋体"/>
                <w:color w:val="auto"/>
                <w:highlight w:val="none"/>
              </w:rPr>
              <w:t>d) GetDataDirectory,</w:t>
            </w:r>
          </w:p>
          <w:p>
            <w:pPr>
              <w:spacing w:before="40" w:after="40"/>
              <w:jc w:val="left"/>
              <w:rPr>
                <w:rFonts w:ascii="宋体" w:hAnsi="宋体"/>
                <w:color w:val="auto"/>
                <w:highlight w:val="none"/>
              </w:rPr>
            </w:pPr>
            <w:r>
              <w:rPr>
                <w:rFonts w:hint="eastAsia" w:ascii="宋体" w:hAnsi="宋体"/>
                <w:color w:val="auto"/>
                <w:highlight w:val="none"/>
              </w:rPr>
              <w:t>e) GetDataDefinition.</w:t>
            </w:r>
          </w:p>
          <w:p>
            <w:pPr>
              <w:spacing w:before="40" w:after="40"/>
              <w:jc w:val="left"/>
              <w:rPr>
                <w:rFonts w:ascii="宋体" w:eastAsia="Times New Roman"/>
                <w:color w:val="auto"/>
                <w:highlight w:val="none"/>
              </w:rPr>
            </w:pPr>
            <w:r>
              <w:rPr>
                <w:rFonts w:hint="eastAsia" w:ascii="宋体" w:hAnsi="宋体"/>
                <w:color w:val="auto"/>
                <w:highlight w:val="none"/>
              </w:rPr>
              <w:t>9.客户端能够在以下情况的GetAllDataValues请求服务失败后，继续与其他已连接服务器通信：</w:t>
            </w:r>
          </w:p>
          <w:p>
            <w:pPr>
              <w:spacing w:before="40" w:after="40"/>
              <w:jc w:val="left"/>
              <w:rPr>
                <w:rFonts w:ascii="宋体" w:eastAsia="Times New Roman"/>
                <w:color w:val="auto"/>
                <w:highlight w:val="none"/>
              </w:rPr>
            </w:pPr>
            <w:r>
              <w:rPr>
                <w:rFonts w:hint="eastAsia" w:ascii="宋体" w:hAnsi="宋体"/>
                <w:color w:val="auto"/>
                <w:highlight w:val="none"/>
              </w:rPr>
              <w:t>a) 收到否定响应</w:t>
            </w:r>
          </w:p>
          <w:p>
            <w:pPr>
              <w:spacing w:before="40" w:after="40"/>
              <w:jc w:val="left"/>
              <w:rPr>
                <w:rFonts w:ascii="宋体" w:eastAsia="Times New Roman"/>
                <w:color w:val="auto"/>
                <w:highlight w:val="none"/>
              </w:rPr>
            </w:pPr>
            <w:r>
              <w:rPr>
                <w:rFonts w:hint="eastAsia" w:ascii="宋体" w:hAnsi="宋体"/>
                <w:color w:val="auto"/>
                <w:highlight w:val="none"/>
              </w:rPr>
              <w:t>b) 响应的数据对象与原模型不匹配</w:t>
            </w:r>
          </w:p>
          <w:p>
            <w:pPr>
              <w:spacing w:before="40" w:after="40"/>
              <w:jc w:val="left"/>
              <w:rPr>
                <w:rFonts w:ascii="宋体" w:eastAsia="Times New Roman"/>
                <w:color w:val="auto"/>
                <w:highlight w:val="none"/>
              </w:rPr>
            </w:pPr>
            <w:r>
              <w:rPr>
                <w:rFonts w:hint="eastAsia" w:ascii="宋体" w:hAnsi="宋体"/>
                <w:color w:val="auto"/>
                <w:highlight w:val="none"/>
              </w:rPr>
              <w:t>10.客户端能够在以下情况的GetDataValues请求服务失败后，继续与其他已连接服务器通信：</w:t>
            </w:r>
          </w:p>
          <w:p>
            <w:pPr>
              <w:spacing w:before="40" w:after="40"/>
              <w:jc w:val="left"/>
              <w:rPr>
                <w:rFonts w:ascii="宋体" w:eastAsia="Times New Roman"/>
                <w:color w:val="auto"/>
                <w:highlight w:val="none"/>
              </w:rPr>
            </w:pPr>
            <w:r>
              <w:rPr>
                <w:rFonts w:hint="eastAsia" w:ascii="宋体" w:hAnsi="宋体"/>
                <w:color w:val="auto"/>
                <w:highlight w:val="none"/>
              </w:rPr>
              <w:t>a) 收到否定响应</w:t>
            </w:r>
          </w:p>
          <w:p>
            <w:pPr>
              <w:spacing w:before="40" w:after="40"/>
              <w:jc w:val="left"/>
              <w:rPr>
                <w:rFonts w:ascii="宋体" w:eastAsia="Times New Roman"/>
                <w:color w:val="auto"/>
                <w:highlight w:val="none"/>
              </w:rPr>
            </w:pPr>
            <w:r>
              <w:rPr>
                <w:rFonts w:hint="eastAsia" w:ascii="宋体" w:hAnsi="宋体"/>
                <w:color w:val="auto"/>
                <w:highlight w:val="none"/>
              </w:rPr>
              <w:t>b) 响应的数据对象与原模型不匹配</w:t>
            </w:r>
          </w:p>
          <w:p>
            <w:pPr>
              <w:spacing w:before="40" w:after="40"/>
              <w:jc w:val="left"/>
              <w:rPr>
                <w:rFonts w:ascii="宋体" w:eastAsia="Times New Roman"/>
                <w:color w:val="auto"/>
                <w:highlight w:val="none"/>
              </w:rPr>
            </w:pPr>
            <w:r>
              <w:rPr>
                <w:rFonts w:hint="eastAsia" w:ascii="宋体" w:hAnsi="宋体"/>
                <w:color w:val="auto"/>
                <w:highlight w:val="none"/>
              </w:rPr>
              <w:t>c) 数据值超出了有效值范围</w:t>
            </w:r>
          </w:p>
          <w:p>
            <w:pPr>
              <w:spacing w:before="40" w:after="40"/>
              <w:jc w:val="left"/>
              <w:rPr>
                <w:rFonts w:ascii="宋体" w:eastAsia="Times New Roman"/>
                <w:color w:val="auto"/>
                <w:highlight w:val="none"/>
              </w:rPr>
            </w:pPr>
            <w:r>
              <w:rPr>
                <w:rFonts w:hint="eastAsia" w:ascii="宋体" w:hAnsi="宋体"/>
                <w:color w:val="auto"/>
                <w:highlight w:val="none"/>
              </w:rPr>
              <w:t>11.客户端能够在以下情况的SetDataValues请求服务失败后，继续与其他已连接服务器通信：</w:t>
            </w:r>
          </w:p>
          <w:p>
            <w:pPr>
              <w:spacing w:before="40" w:after="40"/>
              <w:jc w:val="left"/>
              <w:rPr>
                <w:rFonts w:ascii="宋体" w:eastAsia="Times New Roman"/>
                <w:color w:val="auto"/>
                <w:highlight w:val="none"/>
              </w:rPr>
            </w:pPr>
            <w:r>
              <w:rPr>
                <w:rFonts w:hint="eastAsia" w:ascii="宋体" w:hAnsi="宋体"/>
                <w:color w:val="auto"/>
                <w:highlight w:val="none"/>
              </w:rPr>
              <w:t>a) 收到否定响应</w:t>
            </w:r>
          </w:p>
          <w:p>
            <w:pPr>
              <w:spacing w:before="40" w:after="40"/>
              <w:jc w:val="left"/>
              <w:rPr>
                <w:rFonts w:ascii="宋体" w:eastAsia="Times New Roman"/>
                <w:color w:val="auto"/>
                <w:highlight w:val="none"/>
              </w:rPr>
            </w:pPr>
            <w:r>
              <w:rPr>
                <w:rFonts w:hint="eastAsia" w:ascii="宋体" w:hAnsi="宋体"/>
                <w:color w:val="auto"/>
                <w:highlight w:val="none"/>
              </w:rPr>
              <w:t>b) 其中1个对象值是只读的</w:t>
            </w:r>
          </w:p>
          <w:p>
            <w:pPr>
              <w:spacing w:before="40" w:after="40"/>
              <w:jc w:val="left"/>
              <w:rPr>
                <w:rFonts w:ascii="宋体" w:eastAsia="Times New Roman"/>
                <w:color w:val="auto"/>
                <w:highlight w:val="none"/>
              </w:rPr>
            </w:pPr>
            <w:r>
              <w:rPr>
                <w:rFonts w:hint="eastAsia" w:ascii="宋体" w:hAnsi="宋体"/>
                <w:color w:val="auto"/>
                <w:highlight w:val="none"/>
              </w:rPr>
              <w:t>12．客户端检测出“品质”属性发生了变化， 能够按照PIXIT描述进行处理</w:t>
            </w:r>
          </w:p>
          <w:p>
            <w:pPr>
              <w:spacing w:before="40" w:after="40"/>
              <w:rPr>
                <w:rFonts w:ascii="宋体" w:eastAsia="Times New Roman"/>
                <w:color w:val="auto"/>
                <w:kern w:val="0"/>
                <w:highlight w:val="none"/>
              </w:rPr>
            </w:pPr>
            <w:r>
              <w:rPr>
                <w:rFonts w:hint="eastAsia" w:ascii="宋体" w:hAnsi="宋体"/>
                <w:color w:val="auto"/>
                <w:highlight w:val="none"/>
              </w:rPr>
              <w:t>13．使用服务器模拟器模拟遥测、遥信量的TimeQuality产生不同值的变化，客户端检测到了时标中“TimeQuality”属性发生了变化，能够按照PIXIT描述处理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1.如果客户端支持自描述（见备注1），强制客户端启动自描述，并检查客户端请求GetServerDirectory(LOGICAL-DEVICE)到所有的配置服务器的逻辑设备（见备注2）</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2.如果客户端支持自描述，对于每个GetServerDirectory(LOGICAL-DEVICE)的响应，客户端能够发送GetLogicalNodeDirectory(DATA)请求</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3.如果客户端支持自描述，对于每个GetLogicalDeviceDirectory的响应，客户端能够发送GetLogicalNodeDirectory(DATA)请求</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4.如果客户端支持自描述，对于GetLogicalNodeDirectory(DATA)响应的子集，检查客户端能够发送至少以下一种服务：</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a）</w:t>
            </w:r>
            <w:r>
              <w:rPr>
                <w:rFonts w:ascii="宋体" w:eastAsia="Times New Roman"/>
                <w:color w:val="auto"/>
                <w:spacing w:val="8"/>
                <w:kern w:val="0"/>
                <w:highlight w:val="none"/>
                <w:lang w:val="en-GB"/>
              </w:rPr>
              <w:tab/>
            </w:r>
            <w:r>
              <w:rPr>
                <w:rFonts w:hint="eastAsia" w:ascii="宋体" w:hAnsi="宋体"/>
                <w:color w:val="auto"/>
                <w:spacing w:val="8"/>
                <w:kern w:val="0"/>
                <w:highlight w:val="none"/>
                <w:lang w:val="en-GB"/>
              </w:rPr>
              <w:t>GetDataDirectory请求，检查响应(IEC 61850-7-2, 10.4.4)</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b）</w:t>
            </w:r>
            <w:r>
              <w:rPr>
                <w:rFonts w:ascii="宋体" w:eastAsia="Times New Roman"/>
                <w:color w:val="auto"/>
                <w:spacing w:val="8"/>
                <w:kern w:val="0"/>
                <w:highlight w:val="none"/>
                <w:lang w:val="en-GB"/>
              </w:rPr>
              <w:tab/>
            </w:r>
            <w:r>
              <w:rPr>
                <w:rFonts w:hint="eastAsia" w:ascii="宋体" w:hAnsi="宋体"/>
                <w:color w:val="auto"/>
                <w:spacing w:val="8"/>
                <w:kern w:val="0"/>
                <w:highlight w:val="none"/>
                <w:lang w:val="en-GB"/>
              </w:rPr>
              <w:t>GetDataDefinition请求，检查响应(IEC 61850-7-2, 10.4.5)</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5.检查当启动后，客户端能够更新已配置服务器（见备注2）的过程采集值</w:t>
            </w:r>
          </w:p>
          <w:p>
            <w:pPr>
              <w:spacing w:before="40" w:after="40"/>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6.对不同的基本类型（如FC=CF）进行SetDataValues请求，检查响应</w:t>
            </w:r>
          </w:p>
          <w:p>
            <w:pPr>
              <w:spacing w:before="40" w:after="40"/>
              <w:jc w:val="left"/>
              <w:rPr>
                <w:rFonts w:ascii="宋体" w:eastAsia="Times New Roman"/>
                <w:color w:val="auto"/>
                <w:spacing w:val="8"/>
                <w:kern w:val="0"/>
                <w:highlight w:val="none"/>
                <w:lang w:val="en-GB"/>
              </w:rPr>
            </w:pPr>
            <w:r>
              <w:rPr>
                <w:rFonts w:hint="eastAsia" w:ascii="宋体" w:hAnsi="宋体"/>
                <w:color w:val="auto"/>
                <w:spacing w:val="8"/>
                <w:kern w:val="0"/>
                <w:highlight w:val="none"/>
                <w:lang w:val="en-GB"/>
              </w:rPr>
              <w:t>7.对特定的功能约束发送GetAllDataValues请求，检查客户端是否更新其数据模型(IEC 61850-7-2, 9.2.3)</w:t>
            </w:r>
          </w:p>
          <w:p>
            <w:pPr>
              <w:spacing w:before="40" w:after="40"/>
              <w:jc w:val="left"/>
              <w:rPr>
                <w:rFonts w:ascii="宋体" w:eastAsia="Times New Roman"/>
                <w:color w:val="auto"/>
                <w:highlight w:val="none"/>
              </w:rPr>
            </w:pPr>
            <w:r>
              <w:rPr>
                <w:rFonts w:hint="eastAsia" w:ascii="宋体" w:hAnsi="宋体"/>
                <w:color w:val="auto"/>
                <w:highlight w:val="none"/>
              </w:rPr>
              <w:t>8</w:t>
            </w:r>
            <w:r>
              <w:rPr>
                <w:rFonts w:hint="eastAsia" w:ascii="宋体"/>
                <w:color w:val="auto"/>
                <w:highlight w:val="none"/>
              </w:rPr>
              <w:t>.</w:t>
            </w:r>
            <w:r>
              <w:rPr>
                <w:rFonts w:hint="eastAsia" w:ascii="宋体" w:hAnsi="宋体"/>
                <w:color w:val="auto"/>
                <w:highlight w:val="none"/>
              </w:rPr>
              <w:t>如果客户端支持自描述，触发其启动自描述过程并检查客户端当遇到以下服务的否定响应时仍能够与其它服务器通信</w:t>
            </w:r>
          </w:p>
          <w:p>
            <w:pPr>
              <w:spacing w:before="40" w:after="40"/>
              <w:jc w:val="left"/>
              <w:rPr>
                <w:rFonts w:ascii="宋体" w:hAnsi="宋体"/>
                <w:color w:val="auto"/>
                <w:highlight w:val="none"/>
              </w:rPr>
            </w:pPr>
            <w:r>
              <w:rPr>
                <w:rFonts w:hint="eastAsia" w:ascii="宋体" w:hAnsi="宋体"/>
                <w:color w:val="auto"/>
                <w:highlight w:val="none"/>
              </w:rPr>
              <w:t>a) GetServerDirectory(LOGICAL-DEVICE),</w:t>
            </w:r>
          </w:p>
          <w:p>
            <w:pPr>
              <w:spacing w:before="40" w:after="40"/>
              <w:jc w:val="left"/>
              <w:rPr>
                <w:rFonts w:ascii="宋体" w:hAnsi="宋体"/>
                <w:color w:val="auto"/>
                <w:highlight w:val="none"/>
              </w:rPr>
            </w:pPr>
            <w:r>
              <w:rPr>
                <w:rFonts w:hint="eastAsia" w:ascii="宋体" w:hAnsi="宋体"/>
                <w:color w:val="auto"/>
                <w:highlight w:val="none"/>
              </w:rPr>
              <w:t>b) GetLogicalDeviceDirectory,</w:t>
            </w:r>
          </w:p>
          <w:p>
            <w:pPr>
              <w:spacing w:before="40" w:after="40"/>
              <w:jc w:val="left"/>
              <w:rPr>
                <w:rFonts w:ascii="宋体" w:hAnsi="宋体"/>
                <w:color w:val="auto"/>
                <w:highlight w:val="none"/>
              </w:rPr>
            </w:pPr>
            <w:r>
              <w:rPr>
                <w:rFonts w:hint="eastAsia" w:ascii="宋体" w:hAnsi="宋体"/>
                <w:color w:val="auto"/>
                <w:highlight w:val="none"/>
              </w:rPr>
              <w:t>c) GetLogicalNodeDirectory(DATA),</w:t>
            </w:r>
          </w:p>
          <w:p>
            <w:pPr>
              <w:spacing w:before="40" w:after="40"/>
              <w:jc w:val="left"/>
              <w:rPr>
                <w:rFonts w:ascii="宋体" w:hAnsi="宋体"/>
                <w:color w:val="auto"/>
                <w:highlight w:val="none"/>
              </w:rPr>
            </w:pPr>
            <w:r>
              <w:rPr>
                <w:rFonts w:hint="eastAsia" w:ascii="宋体" w:hAnsi="宋体"/>
                <w:color w:val="auto"/>
                <w:highlight w:val="none"/>
              </w:rPr>
              <w:t>d) GetDataDirectory,</w:t>
            </w:r>
          </w:p>
          <w:p>
            <w:pPr>
              <w:spacing w:before="40" w:after="40"/>
              <w:jc w:val="left"/>
              <w:rPr>
                <w:rFonts w:ascii="宋体" w:hAnsi="宋体"/>
                <w:color w:val="auto"/>
                <w:highlight w:val="none"/>
              </w:rPr>
            </w:pPr>
            <w:r>
              <w:rPr>
                <w:rFonts w:hint="eastAsia" w:ascii="宋体" w:hAnsi="宋体"/>
                <w:color w:val="auto"/>
                <w:highlight w:val="none"/>
              </w:rPr>
              <w:t>e) GetDataDefinition.</w:t>
            </w:r>
          </w:p>
          <w:p>
            <w:pPr>
              <w:spacing w:before="40" w:after="40"/>
              <w:jc w:val="left"/>
              <w:rPr>
                <w:rFonts w:ascii="宋体" w:eastAsia="Times New Roman"/>
                <w:color w:val="auto"/>
                <w:highlight w:val="none"/>
              </w:rPr>
            </w:pPr>
            <w:r>
              <w:rPr>
                <w:rFonts w:hint="eastAsia" w:ascii="宋体" w:hAnsi="宋体"/>
                <w:color w:val="auto"/>
                <w:highlight w:val="none"/>
              </w:rPr>
              <w:t>9.检查客户端能够在以下情况的GetAllDataValues请求服务失败后，继续与其他已连接服务器通信：</w:t>
            </w:r>
          </w:p>
          <w:p>
            <w:pPr>
              <w:spacing w:before="40" w:after="40"/>
              <w:jc w:val="left"/>
              <w:rPr>
                <w:rFonts w:ascii="宋体" w:eastAsia="Times New Roman"/>
                <w:color w:val="auto"/>
                <w:highlight w:val="none"/>
              </w:rPr>
            </w:pPr>
            <w:r>
              <w:rPr>
                <w:rFonts w:hint="eastAsia" w:ascii="宋体" w:hAnsi="宋体"/>
                <w:color w:val="auto"/>
                <w:highlight w:val="none"/>
              </w:rPr>
              <w:t>a) 收到否定响应</w:t>
            </w:r>
          </w:p>
          <w:p>
            <w:pPr>
              <w:spacing w:before="40" w:after="40"/>
              <w:jc w:val="left"/>
              <w:rPr>
                <w:rFonts w:ascii="宋体" w:eastAsia="Times New Roman"/>
                <w:color w:val="auto"/>
                <w:highlight w:val="none"/>
              </w:rPr>
            </w:pPr>
            <w:r>
              <w:rPr>
                <w:rFonts w:hint="eastAsia" w:ascii="宋体" w:hAnsi="宋体"/>
                <w:color w:val="auto"/>
                <w:highlight w:val="none"/>
              </w:rPr>
              <w:t>b) 响应的数据对象与原模型不匹配</w:t>
            </w:r>
          </w:p>
          <w:p>
            <w:pPr>
              <w:spacing w:before="40" w:after="40"/>
              <w:jc w:val="left"/>
              <w:rPr>
                <w:rFonts w:ascii="宋体" w:eastAsia="Times New Roman"/>
                <w:color w:val="auto"/>
                <w:highlight w:val="none"/>
              </w:rPr>
            </w:pPr>
            <w:r>
              <w:rPr>
                <w:rFonts w:hint="eastAsia" w:ascii="宋体" w:hAnsi="宋体"/>
                <w:color w:val="auto"/>
                <w:highlight w:val="none"/>
              </w:rPr>
              <w:t>10.检查客户端能够在以下情况的GetDataValues请求服务失败后，继续与其他已连接服务器通信：</w:t>
            </w:r>
          </w:p>
          <w:p>
            <w:pPr>
              <w:spacing w:before="40" w:after="40"/>
              <w:jc w:val="left"/>
              <w:rPr>
                <w:rFonts w:ascii="宋体" w:eastAsia="Times New Roman"/>
                <w:color w:val="auto"/>
                <w:highlight w:val="none"/>
              </w:rPr>
            </w:pPr>
            <w:r>
              <w:rPr>
                <w:rFonts w:hint="eastAsia" w:ascii="宋体" w:hAnsi="宋体"/>
                <w:color w:val="auto"/>
                <w:highlight w:val="none"/>
              </w:rPr>
              <w:t>a) 收到否定响应</w:t>
            </w:r>
          </w:p>
          <w:p>
            <w:pPr>
              <w:spacing w:before="40" w:after="40"/>
              <w:jc w:val="left"/>
              <w:rPr>
                <w:rFonts w:ascii="宋体" w:eastAsia="Times New Roman"/>
                <w:color w:val="auto"/>
                <w:highlight w:val="none"/>
              </w:rPr>
            </w:pPr>
            <w:r>
              <w:rPr>
                <w:rFonts w:hint="eastAsia" w:ascii="宋体" w:hAnsi="宋体"/>
                <w:color w:val="auto"/>
                <w:highlight w:val="none"/>
              </w:rPr>
              <w:t>b) 响应的数据对象与原模型不匹配</w:t>
            </w:r>
          </w:p>
          <w:p>
            <w:pPr>
              <w:spacing w:before="40" w:after="40"/>
              <w:jc w:val="left"/>
              <w:rPr>
                <w:rFonts w:ascii="宋体" w:eastAsia="Times New Roman"/>
                <w:color w:val="auto"/>
                <w:highlight w:val="none"/>
              </w:rPr>
            </w:pPr>
            <w:r>
              <w:rPr>
                <w:rFonts w:hint="eastAsia" w:ascii="宋体" w:hAnsi="宋体"/>
                <w:color w:val="auto"/>
                <w:highlight w:val="none"/>
              </w:rPr>
              <w:t>c) 数据值超出了有效值范围</w:t>
            </w:r>
          </w:p>
          <w:p>
            <w:pPr>
              <w:spacing w:before="40" w:after="40"/>
              <w:jc w:val="left"/>
              <w:rPr>
                <w:rFonts w:ascii="宋体" w:eastAsia="Times New Roman"/>
                <w:color w:val="auto"/>
                <w:highlight w:val="none"/>
              </w:rPr>
            </w:pPr>
            <w:r>
              <w:rPr>
                <w:rFonts w:hint="eastAsia" w:ascii="宋体" w:hAnsi="宋体"/>
                <w:color w:val="auto"/>
                <w:highlight w:val="none"/>
              </w:rPr>
              <w:t>11.检查客户端能够在以下情况的SetDataValues请求服务失败后，继续与其他已连接服务器通信：</w:t>
            </w:r>
          </w:p>
          <w:p>
            <w:pPr>
              <w:spacing w:before="40" w:after="40"/>
              <w:jc w:val="left"/>
              <w:rPr>
                <w:rFonts w:ascii="宋体" w:eastAsia="Times New Roman"/>
                <w:color w:val="auto"/>
                <w:highlight w:val="none"/>
              </w:rPr>
            </w:pPr>
            <w:r>
              <w:rPr>
                <w:rFonts w:hint="eastAsia" w:ascii="宋体" w:hAnsi="宋体"/>
                <w:color w:val="auto"/>
                <w:highlight w:val="none"/>
              </w:rPr>
              <w:t>a) 收到否定响应</w:t>
            </w:r>
          </w:p>
          <w:p>
            <w:pPr>
              <w:spacing w:before="40" w:after="40"/>
              <w:jc w:val="left"/>
              <w:rPr>
                <w:rFonts w:ascii="宋体" w:eastAsia="Times New Roman"/>
                <w:color w:val="auto"/>
                <w:highlight w:val="none"/>
              </w:rPr>
            </w:pPr>
            <w:r>
              <w:rPr>
                <w:rFonts w:hint="eastAsia" w:ascii="宋体" w:hAnsi="宋体"/>
                <w:color w:val="auto"/>
                <w:highlight w:val="none"/>
              </w:rPr>
              <w:t>b) 其中1个对象值是只读的</w:t>
            </w:r>
          </w:p>
          <w:p>
            <w:pPr>
              <w:spacing w:before="40" w:after="40"/>
              <w:jc w:val="left"/>
              <w:rPr>
                <w:rFonts w:ascii="宋体" w:eastAsia="Times New Roman"/>
                <w:color w:val="auto"/>
                <w:highlight w:val="none"/>
              </w:rPr>
            </w:pPr>
            <w:r>
              <w:rPr>
                <w:rFonts w:hint="eastAsia" w:ascii="宋体" w:hAnsi="宋体"/>
                <w:color w:val="auto"/>
                <w:highlight w:val="none"/>
              </w:rPr>
              <w:t>12．使用服务器模拟器模拟遥测、遥信量的Quality品质产生不同值的变化，如果客户端检测出“品质”属性发生了变化， 检查客户端按照PIXIT描述进行处理</w:t>
            </w:r>
          </w:p>
          <w:p>
            <w:pPr>
              <w:spacing w:before="40" w:after="40"/>
              <w:jc w:val="left"/>
              <w:rPr>
                <w:rFonts w:ascii="宋体" w:eastAsia="Times New Roman"/>
                <w:b/>
                <w:color w:val="auto"/>
                <w:highlight w:val="none"/>
              </w:rPr>
            </w:pPr>
            <w:r>
              <w:rPr>
                <w:rFonts w:hint="eastAsia" w:ascii="宋体" w:hAnsi="宋体"/>
                <w:color w:val="auto"/>
                <w:highlight w:val="none"/>
              </w:rPr>
              <w:t>13．使用服务器模拟器模拟遥测、遥信量的TimeQuality产生不同值的变化，如果客户端检测到了时标中“TimeQuality”属性发生了变化，检查客户端按照PIXIT描述进行处理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Times New Roman"/>
                <w:color w:val="auto"/>
                <w:highlight w:val="none"/>
              </w:rPr>
            </w:pPr>
            <w:r>
              <w:rPr>
                <w:rFonts w:hint="eastAsia" w:ascii="宋体" w:hAnsi="宋体"/>
                <w:color w:val="auto"/>
                <w:highlight w:val="none"/>
              </w:rPr>
              <w:t>备注1：实现自描述表示客户端可以通过使用ACSI服务的办法更新预期通信的服务器的模型镜像。</w:t>
            </w:r>
          </w:p>
          <w:p>
            <w:pPr>
              <w:rPr>
                <w:rFonts w:ascii="宋体" w:eastAsia="Times New Roman"/>
                <w:color w:val="auto"/>
                <w:highlight w:val="none"/>
              </w:rPr>
            </w:pPr>
            <w:r>
              <w:rPr>
                <w:rFonts w:hint="eastAsia" w:ascii="宋体" w:hAnsi="宋体"/>
                <w:color w:val="auto"/>
                <w:highlight w:val="none"/>
              </w:rPr>
              <w:t>备注2：已配置的服务器表示已被客户端配置进行通信的服务器。客户端至少需要具备与这些服务器进行通信的参数。</w:t>
            </w:r>
          </w:p>
        </w:tc>
      </w:tr>
    </w:tbl>
    <w:p>
      <w:pPr>
        <w:rPr>
          <w:rFonts w:ascii="仿宋_GB2312" w:eastAsia="仿宋_GB2312"/>
          <w:color w:val="auto"/>
          <w:highlight w:val="none"/>
        </w:rPr>
      </w:pPr>
    </w:p>
    <w:p>
      <w:pPr>
        <w:outlineLvl w:val="2"/>
        <w:rPr>
          <w:color w:val="auto"/>
          <w:highlight w:val="none"/>
        </w:rPr>
      </w:pPr>
      <w:bookmarkStart w:id="290" w:name="_Toc176238130"/>
      <w:bookmarkStart w:id="291" w:name="_Toc238866312"/>
      <w:bookmarkStart w:id="292" w:name="_Toc484019005"/>
      <w:bookmarkStart w:id="293" w:name="_Toc528273621"/>
      <w:r>
        <w:rPr>
          <w:color w:val="auto"/>
          <w:highlight w:val="none"/>
        </w:rPr>
        <w:t>A.6</w:t>
      </w:r>
      <w:r>
        <w:rPr>
          <w:color w:val="auto"/>
          <w:highlight w:val="none"/>
        </w:rPr>
        <w:tab/>
      </w:r>
      <w:bookmarkEnd w:id="290"/>
      <w:r>
        <w:rPr>
          <w:color w:val="auto"/>
          <w:highlight w:val="none"/>
        </w:rPr>
        <w:t>数据集</w:t>
      </w:r>
      <w:bookmarkEnd w:id="291"/>
      <w:bookmarkEnd w:id="292"/>
      <w:bookmarkEnd w:id="29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数据集测试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被测数据集符合标准要求。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1客户端应支持自描述，触发其启动自描述过程并检查其是否对配置服务器的相关节点发送GetLogicalNodeDirectory(DATASET)请求；</w:t>
            </w:r>
          </w:p>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2客户端应支持自描述，触发其启动自描述过程并检查其向服务器的所有数据集发送GetDataSetDirectory请求；</w:t>
            </w:r>
          </w:p>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3检查客户端能够发送GetDataSetValues请求并处理其响应；</w:t>
            </w:r>
          </w:p>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4检查客户端能够发送SetDataSetValues请求并处理其响应；</w:t>
            </w:r>
          </w:p>
          <w:p>
            <w:pPr>
              <w:spacing w:before="40" w:after="40"/>
              <w:rPr>
                <w:rFonts w:ascii="宋体" w:eastAsia="Times New Roman"/>
                <w:color w:val="auto"/>
                <w:highlight w:val="none"/>
              </w:rPr>
            </w:pPr>
            <w:r>
              <w:rPr>
                <w:rFonts w:hint="eastAsia" w:ascii="宋体" w:hAnsi="宋体"/>
                <w:color w:val="auto"/>
                <w:highlight w:val="none"/>
              </w:rPr>
              <w:t>5客户端能检查SCD文件中预配置的数据集。如果发生了任何不匹配，客户端按照PIXIT进行处理；</w:t>
            </w:r>
          </w:p>
          <w:p>
            <w:pPr>
              <w:spacing w:before="40" w:after="40"/>
              <w:rPr>
                <w:rFonts w:ascii="宋体" w:eastAsia="Times New Roman"/>
                <w:color w:val="auto"/>
                <w:highlight w:val="none"/>
              </w:rPr>
            </w:pPr>
            <w:r>
              <w:rPr>
                <w:rFonts w:hint="eastAsia" w:ascii="宋体" w:hAnsi="宋体"/>
                <w:color w:val="auto"/>
                <w:highlight w:val="none"/>
              </w:rPr>
              <w:t>6如果客户端支持自描述，触发其启动自描述过程并检查客户端在发送以下服务遇到否定响应时仍能与其它服务器继续通信：</w:t>
            </w:r>
          </w:p>
          <w:p>
            <w:pPr>
              <w:spacing w:before="40" w:after="40"/>
              <w:rPr>
                <w:rFonts w:ascii="宋体" w:hAnsi="宋体"/>
                <w:color w:val="auto"/>
                <w:highlight w:val="none"/>
              </w:rPr>
            </w:pPr>
            <w:r>
              <w:rPr>
                <w:rFonts w:hint="eastAsia" w:ascii="宋体" w:hAnsi="宋体"/>
                <w:color w:val="auto"/>
                <w:highlight w:val="none"/>
              </w:rPr>
              <w:t>a) GetLogicalNodeDirectory (DATASET)</w:t>
            </w:r>
          </w:p>
          <w:p>
            <w:pPr>
              <w:spacing w:before="40" w:after="40"/>
              <w:rPr>
                <w:rFonts w:ascii="宋体" w:hAnsi="宋体"/>
                <w:color w:val="auto"/>
                <w:highlight w:val="none"/>
              </w:rPr>
            </w:pPr>
            <w:r>
              <w:rPr>
                <w:rFonts w:hint="eastAsia" w:ascii="宋体" w:hAnsi="宋体"/>
                <w:color w:val="auto"/>
                <w:highlight w:val="none"/>
              </w:rPr>
              <w:t>b) GetDataSetDirectory</w:t>
            </w:r>
          </w:p>
          <w:p>
            <w:pPr>
              <w:spacing w:before="40" w:after="40"/>
              <w:rPr>
                <w:rFonts w:ascii="宋体" w:eastAsia="Times New Roman"/>
                <w:color w:val="auto"/>
                <w:highlight w:val="none"/>
              </w:rPr>
            </w:pPr>
            <w:r>
              <w:rPr>
                <w:rFonts w:hint="eastAsia" w:ascii="宋体" w:hAnsi="宋体"/>
                <w:color w:val="auto"/>
                <w:highlight w:val="none"/>
              </w:rPr>
              <w:t>7当客户端发送GetDataSetValue请求时，如果发生以下情况，检查其仍能与其它服务器继续通信：</w:t>
            </w:r>
          </w:p>
          <w:p>
            <w:pPr>
              <w:spacing w:before="40" w:after="40"/>
              <w:rPr>
                <w:rFonts w:ascii="宋体" w:eastAsia="Times New Roman"/>
                <w:color w:val="auto"/>
                <w:highlight w:val="none"/>
              </w:rPr>
            </w:pPr>
            <w:r>
              <w:rPr>
                <w:rFonts w:hint="eastAsia" w:ascii="宋体" w:hAnsi="宋体"/>
                <w:color w:val="auto"/>
                <w:highlight w:val="none"/>
              </w:rPr>
              <w:t>a) 收到否定响应</w:t>
            </w:r>
          </w:p>
          <w:p>
            <w:pPr>
              <w:spacing w:before="40" w:after="40"/>
              <w:rPr>
                <w:rFonts w:ascii="宋体" w:eastAsia="Times New Roman"/>
                <w:color w:val="auto"/>
                <w:highlight w:val="none"/>
              </w:rPr>
            </w:pPr>
            <w:r>
              <w:rPr>
                <w:rFonts w:hint="eastAsia" w:ascii="宋体" w:hAnsi="宋体"/>
                <w:color w:val="auto"/>
                <w:highlight w:val="none"/>
              </w:rPr>
              <w:t>b) 响应中包含更多/更少的数据对象</w:t>
            </w:r>
          </w:p>
          <w:p>
            <w:pPr>
              <w:spacing w:before="40" w:after="40"/>
              <w:rPr>
                <w:rFonts w:ascii="宋体" w:eastAsia="Times New Roman"/>
                <w:color w:val="auto"/>
                <w:highlight w:val="none"/>
              </w:rPr>
            </w:pPr>
            <w:r>
              <w:rPr>
                <w:rFonts w:hint="eastAsia" w:ascii="宋体" w:hAnsi="宋体"/>
                <w:color w:val="auto"/>
                <w:highlight w:val="none"/>
              </w:rPr>
              <w:t>c) 响应中包含不同类型数据重新排序的数据对象</w:t>
            </w:r>
          </w:p>
          <w:p>
            <w:pPr>
              <w:spacing w:before="40" w:after="40"/>
              <w:rPr>
                <w:rFonts w:ascii="宋体" w:eastAsia="Times New Roman"/>
                <w:color w:val="auto"/>
                <w:highlight w:val="none"/>
              </w:rPr>
            </w:pPr>
            <w:r>
              <w:rPr>
                <w:rFonts w:hint="eastAsia" w:ascii="宋体" w:hAnsi="宋体"/>
                <w:color w:val="auto"/>
                <w:highlight w:val="none"/>
              </w:rPr>
              <w:t>d) 响应中包含相同类型数据重新排序的数据对象</w:t>
            </w:r>
          </w:p>
          <w:p>
            <w:pPr>
              <w:widowControl/>
              <w:spacing w:before="40" w:after="40"/>
              <w:rPr>
                <w:rFonts w:ascii="宋体" w:eastAsia="Times New Roman"/>
                <w:color w:val="auto"/>
                <w:kern w:val="0"/>
                <w:highlight w:val="none"/>
              </w:rPr>
            </w:pPr>
            <w:r>
              <w:rPr>
                <w:rFonts w:hint="eastAsia" w:ascii="宋体" w:hAnsi="宋体"/>
                <w:color w:val="auto"/>
                <w:highlight w:val="none"/>
              </w:rPr>
              <w:t>8 检查客户端发送SetDataSetValue时如果收到否定响应，仍能与其他服务器继续通信。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1.客户端支持自描述，触发其启动自描述过程并检查其是否对配置服务器的相关节点发送GetLogicalNodeDirectory(DATASET)请求；</w:t>
            </w:r>
          </w:p>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2.客户端支持自描述，触发其启动自描述过程并检查其向服务器的所有数据集发送GetDataSetDirectory请求；</w:t>
            </w:r>
          </w:p>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3.检查客户端能够发送GetDataSetValues请求并处理其响应；</w:t>
            </w:r>
          </w:p>
          <w:p>
            <w:pPr>
              <w:widowControl/>
              <w:spacing w:before="40" w:after="40" w:line="312" w:lineRule="auto"/>
              <w:jc w:val="left"/>
              <w:rPr>
                <w:rFonts w:ascii="宋体" w:eastAsia="Times New Roman"/>
                <w:color w:val="auto"/>
                <w:highlight w:val="none"/>
              </w:rPr>
            </w:pPr>
            <w:r>
              <w:rPr>
                <w:rFonts w:hint="eastAsia" w:ascii="宋体" w:hAnsi="宋体"/>
                <w:color w:val="auto"/>
                <w:highlight w:val="none"/>
              </w:rPr>
              <w:t>4.检查客户端能够发送SetDataSetValues请求并处理其响应；</w:t>
            </w:r>
          </w:p>
          <w:p>
            <w:pPr>
              <w:spacing w:before="40" w:after="40"/>
              <w:rPr>
                <w:rFonts w:ascii="宋体" w:eastAsia="Times New Roman"/>
                <w:color w:val="auto"/>
                <w:highlight w:val="none"/>
              </w:rPr>
            </w:pPr>
            <w:r>
              <w:rPr>
                <w:rFonts w:hint="eastAsia" w:ascii="宋体" w:hAnsi="宋体"/>
                <w:color w:val="auto"/>
                <w:highlight w:val="none"/>
              </w:rPr>
              <w:t>5.检查客户端能检查SCD文件中预配置的数据集。如果发生了任何不匹配，客户端按照PIXIT进行处理；</w:t>
            </w:r>
          </w:p>
          <w:p>
            <w:pPr>
              <w:spacing w:before="40" w:after="40"/>
              <w:rPr>
                <w:rFonts w:ascii="宋体" w:eastAsia="Times New Roman"/>
                <w:color w:val="auto"/>
                <w:highlight w:val="none"/>
              </w:rPr>
            </w:pPr>
            <w:r>
              <w:rPr>
                <w:rFonts w:hint="eastAsia" w:ascii="宋体" w:hAnsi="宋体"/>
                <w:color w:val="auto"/>
                <w:highlight w:val="none"/>
              </w:rPr>
              <w:t>6.客户端支持自描述，触发其启动自描述过程并检查客户端在发送以下服务遇到否定响应时仍能与其它服务器继续通信：</w:t>
            </w:r>
          </w:p>
          <w:p>
            <w:pPr>
              <w:spacing w:before="40" w:after="40"/>
              <w:rPr>
                <w:rFonts w:ascii="宋体" w:hAnsi="宋体"/>
                <w:color w:val="auto"/>
                <w:highlight w:val="none"/>
              </w:rPr>
            </w:pPr>
            <w:r>
              <w:rPr>
                <w:rFonts w:hint="eastAsia" w:ascii="宋体" w:hAnsi="宋体"/>
                <w:color w:val="auto"/>
                <w:highlight w:val="none"/>
              </w:rPr>
              <w:t>a) GetLogicalNodeDirectory (DATASET)</w:t>
            </w:r>
          </w:p>
          <w:p>
            <w:pPr>
              <w:spacing w:before="40" w:after="40"/>
              <w:rPr>
                <w:rFonts w:ascii="宋体" w:hAnsi="宋体"/>
                <w:color w:val="auto"/>
                <w:highlight w:val="none"/>
              </w:rPr>
            </w:pPr>
            <w:r>
              <w:rPr>
                <w:rFonts w:hint="eastAsia" w:ascii="宋体" w:hAnsi="宋体"/>
                <w:color w:val="auto"/>
                <w:highlight w:val="none"/>
              </w:rPr>
              <w:t>b) GetDataSetDirectory</w:t>
            </w:r>
          </w:p>
          <w:p>
            <w:pPr>
              <w:spacing w:before="40" w:after="40"/>
              <w:rPr>
                <w:rFonts w:ascii="宋体" w:eastAsia="Times New Roman"/>
                <w:color w:val="auto"/>
                <w:highlight w:val="none"/>
              </w:rPr>
            </w:pPr>
            <w:r>
              <w:rPr>
                <w:rFonts w:hint="eastAsia" w:ascii="宋体" w:hAnsi="宋体"/>
                <w:color w:val="auto"/>
                <w:highlight w:val="none"/>
              </w:rPr>
              <w:t>7.当客户端发送GetDataSetValue请求时，如果发生以下情况，检查其仍能与其它服务器继续通信：</w:t>
            </w:r>
          </w:p>
          <w:p>
            <w:pPr>
              <w:spacing w:before="40" w:after="40"/>
              <w:rPr>
                <w:rFonts w:ascii="宋体" w:eastAsia="Times New Roman"/>
                <w:color w:val="auto"/>
                <w:highlight w:val="none"/>
              </w:rPr>
            </w:pPr>
            <w:r>
              <w:rPr>
                <w:rFonts w:hint="eastAsia" w:ascii="宋体" w:hAnsi="宋体"/>
                <w:color w:val="auto"/>
                <w:highlight w:val="none"/>
              </w:rPr>
              <w:t>a) 收到否定响应</w:t>
            </w:r>
          </w:p>
          <w:p>
            <w:pPr>
              <w:spacing w:before="40" w:after="40"/>
              <w:rPr>
                <w:rFonts w:ascii="宋体" w:eastAsia="Times New Roman"/>
                <w:color w:val="auto"/>
                <w:highlight w:val="none"/>
              </w:rPr>
            </w:pPr>
            <w:r>
              <w:rPr>
                <w:rFonts w:hint="eastAsia" w:ascii="宋体" w:hAnsi="宋体"/>
                <w:color w:val="auto"/>
                <w:highlight w:val="none"/>
              </w:rPr>
              <w:t>b) 响应中包含更多/更少的数据对象</w:t>
            </w:r>
          </w:p>
          <w:p>
            <w:pPr>
              <w:spacing w:before="40" w:after="40"/>
              <w:rPr>
                <w:rFonts w:ascii="宋体" w:eastAsia="Times New Roman"/>
                <w:color w:val="auto"/>
                <w:highlight w:val="none"/>
              </w:rPr>
            </w:pPr>
            <w:r>
              <w:rPr>
                <w:rFonts w:hint="eastAsia" w:ascii="宋体" w:hAnsi="宋体"/>
                <w:color w:val="auto"/>
                <w:highlight w:val="none"/>
              </w:rPr>
              <w:t>c) 响应中包含不同类型数据重新排序的数据对象</w:t>
            </w:r>
          </w:p>
          <w:p>
            <w:pPr>
              <w:spacing w:before="40" w:after="40"/>
              <w:rPr>
                <w:rFonts w:ascii="宋体" w:eastAsia="Times New Roman"/>
                <w:color w:val="auto"/>
                <w:highlight w:val="none"/>
              </w:rPr>
            </w:pPr>
            <w:r>
              <w:rPr>
                <w:rFonts w:hint="eastAsia" w:ascii="宋体" w:hAnsi="宋体"/>
                <w:color w:val="auto"/>
                <w:highlight w:val="none"/>
              </w:rPr>
              <w:t>d) 响应中包含相同类型数据重新排序的数据对象</w:t>
            </w:r>
          </w:p>
          <w:p>
            <w:pPr>
              <w:spacing w:before="40" w:after="40"/>
              <w:jc w:val="left"/>
              <w:rPr>
                <w:rFonts w:ascii="宋体" w:eastAsia="Times New Roman"/>
                <w:b/>
                <w:color w:val="auto"/>
                <w:highlight w:val="none"/>
              </w:rPr>
            </w:pPr>
            <w:r>
              <w:rPr>
                <w:rFonts w:hint="eastAsia" w:ascii="宋体" w:hAnsi="宋体"/>
                <w:color w:val="auto"/>
                <w:highlight w:val="none"/>
              </w:rPr>
              <w:t>8.检查客户端发送SetDataSetValue时如果收到否定响应，仍能与其他服务器继续通信。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客户端自描述功能为可选功能。</w:t>
            </w:r>
          </w:p>
        </w:tc>
      </w:tr>
    </w:tbl>
    <w:p>
      <w:pPr>
        <w:rPr>
          <w:rFonts w:eastAsia="Times New Roman"/>
          <w:color w:val="auto"/>
          <w:highlight w:val="none"/>
        </w:rPr>
      </w:pPr>
      <w:bookmarkStart w:id="294" w:name="_Toc238866313"/>
      <w:bookmarkStart w:id="295" w:name="_Toc176238131"/>
    </w:p>
    <w:p>
      <w:pPr>
        <w:outlineLvl w:val="2"/>
        <w:rPr>
          <w:color w:val="auto"/>
          <w:highlight w:val="none"/>
        </w:rPr>
      </w:pPr>
      <w:bookmarkStart w:id="296" w:name="_Toc528273622"/>
      <w:bookmarkStart w:id="297" w:name="_Toc484019006"/>
      <w:r>
        <w:rPr>
          <w:color w:val="auto"/>
          <w:highlight w:val="none"/>
        </w:rPr>
        <w:t>A.7 取代</w:t>
      </w:r>
      <w:bookmarkEnd w:id="294"/>
      <w:bookmarkEnd w:id="295"/>
      <w:bookmarkEnd w:id="296"/>
      <w:bookmarkEnd w:id="297"/>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取代测试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 xml:space="preserve">DL/T 860.73 </w:t>
            </w:r>
            <w:r>
              <w:rPr>
                <w:rFonts w:hint="eastAsia"/>
                <w:color w:val="auto"/>
                <w:highlight w:val="none"/>
              </w:rPr>
              <w:t>和</w:t>
            </w:r>
            <w:r>
              <w:rPr>
                <w:color w:val="auto"/>
                <w:highlight w:val="none"/>
              </w:rPr>
              <w:t xml:space="preserve"> DL/T 860.74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被测客户端取代功能符合标准要求。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 客户端能够使能取代，输入取代值并撤消取代</w:t>
            </w:r>
          </w:p>
          <w:p>
            <w:pPr>
              <w:spacing w:before="40" w:after="40"/>
              <w:rPr>
                <w:rFonts w:ascii="宋体" w:eastAsia="Times New Roman"/>
                <w:color w:val="auto"/>
                <w:highlight w:val="none"/>
              </w:rPr>
            </w:pPr>
            <w:r>
              <w:rPr>
                <w:rFonts w:hint="eastAsia" w:ascii="宋体" w:hAnsi="宋体"/>
                <w:color w:val="auto"/>
                <w:highlight w:val="none"/>
              </w:rPr>
              <w:t>2.客户端能够显示取代值的源品质为“取代”</w:t>
            </w:r>
          </w:p>
          <w:p>
            <w:pPr>
              <w:pStyle w:val="198"/>
              <w:spacing w:before="156" w:after="156" w:line="312" w:lineRule="auto"/>
              <w:rPr>
                <w:rFonts w:ascii="宋体" w:eastAsia="Times New Roman"/>
                <w:color w:val="auto"/>
                <w:highlight w:val="none"/>
              </w:rPr>
            </w:pPr>
            <w:r>
              <w:rPr>
                <w:rFonts w:ascii="宋体" w:hAnsi="宋体"/>
                <w:color w:val="auto"/>
                <w:highlight w:val="none"/>
              </w:rPr>
              <w:t>3.客户端能够显示被其他客户端取代值的源品质为“取代”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1.检查客户端能够使能取代，输入取代值并撤消取代；</w:t>
            </w:r>
          </w:p>
          <w:p>
            <w:pPr>
              <w:spacing w:before="40" w:after="40"/>
              <w:rPr>
                <w:rFonts w:ascii="宋体" w:eastAsia="Times New Roman"/>
                <w:color w:val="auto"/>
                <w:highlight w:val="none"/>
              </w:rPr>
            </w:pPr>
            <w:r>
              <w:rPr>
                <w:rFonts w:hint="eastAsia" w:ascii="宋体" w:hAnsi="宋体"/>
                <w:color w:val="auto"/>
                <w:highlight w:val="none"/>
              </w:rPr>
              <w:t>2.检查客户端能够显示取代值的源品质为“取代”；</w:t>
            </w:r>
          </w:p>
          <w:p>
            <w:pPr>
              <w:pStyle w:val="198"/>
              <w:spacing w:before="156" w:after="156" w:line="312" w:lineRule="auto"/>
              <w:rPr>
                <w:rFonts w:ascii="宋体" w:eastAsia="Times New Roman"/>
                <w:color w:val="auto"/>
                <w:highlight w:val="none"/>
              </w:rPr>
            </w:pPr>
            <w:r>
              <w:rPr>
                <w:rFonts w:ascii="宋体" w:hAnsi="宋体"/>
                <w:color w:val="auto"/>
                <w:highlight w:val="none"/>
              </w:rPr>
              <w:t>3.检查客户端能够显示被其他客户端取代值的源品质为“取代”；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bl>
    <w:p>
      <w:pPr>
        <w:rPr>
          <w:rFonts w:ascii="仿宋_GB2312" w:eastAsia="仿宋_GB2312"/>
          <w:b/>
          <w:color w:val="auto"/>
          <w:highlight w:val="none"/>
        </w:rPr>
      </w:pPr>
    </w:p>
    <w:p>
      <w:pPr>
        <w:rPr>
          <w:rFonts w:ascii="仿宋_GB2312" w:eastAsia="仿宋_GB2312"/>
          <w:b/>
          <w:color w:val="auto"/>
          <w:highlight w:val="none"/>
        </w:rPr>
      </w:pPr>
    </w:p>
    <w:p>
      <w:pPr>
        <w:outlineLvl w:val="2"/>
        <w:rPr>
          <w:color w:val="auto"/>
          <w:highlight w:val="none"/>
        </w:rPr>
      </w:pPr>
      <w:bookmarkStart w:id="298" w:name="_Toc238866314"/>
      <w:bookmarkStart w:id="299" w:name="_Toc484019007"/>
      <w:bookmarkStart w:id="300" w:name="_Toc528273623"/>
      <w:r>
        <w:rPr>
          <w:color w:val="auto"/>
          <w:highlight w:val="none"/>
        </w:rPr>
        <w:t>A.8</w:t>
      </w:r>
      <w:r>
        <w:rPr>
          <w:color w:val="auto"/>
          <w:highlight w:val="none"/>
        </w:rPr>
        <w:tab/>
      </w:r>
      <w:r>
        <w:rPr>
          <w:color w:val="auto"/>
          <w:highlight w:val="none"/>
        </w:rPr>
        <w:t>定值组</w:t>
      </w:r>
      <w:bookmarkEnd w:id="298"/>
      <w:r>
        <w:rPr>
          <w:color w:val="auto"/>
          <w:highlight w:val="none"/>
        </w:rPr>
        <w:t>选择</w:t>
      </w:r>
      <w:bookmarkEnd w:id="299"/>
      <w:bookmarkEnd w:id="300"/>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定值组控制测试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被测客户端定值组控制符合标准要求。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1.客户端支持自描述，触发其启动自描述过程并检查发送的GetLogicalNodeDirectory(SGCB)请求，以及所收到的肯定响应；</w:t>
            </w:r>
          </w:p>
          <w:p>
            <w:pPr>
              <w:spacing w:before="40" w:after="40"/>
              <w:rPr>
                <w:rFonts w:ascii="宋体" w:hAnsi="宋体"/>
                <w:color w:val="auto"/>
                <w:highlight w:val="none"/>
              </w:rPr>
            </w:pPr>
            <w:r>
              <w:rPr>
                <w:rFonts w:hint="eastAsia" w:ascii="宋体" w:hAnsi="宋体"/>
                <w:color w:val="auto"/>
                <w:highlight w:val="none"/>
              </w:rPr>
              <w:t xml:space="preserve">2.客户端应能够选择一个定值组； </w:t>
            </w:r>
          </w:p>
          <w:p>
            <w:pPr>
              <w:spacing w:before="40" w:after="40"/>
              <w:rPr>
                <w:rFonts w:ascii="宋体" w:eastAsia="Times New Roman"/>
                <w:color w:val="auto"/>
                <w:highlight w:val="none"/>
              </w:rPr>
            </w:pPr>
            <w:r>
              <w:rPr>
                <w:rFonts w:hint="eastAsia" w:ascii="宋体" w:hAnsi="宋体"/>
                <w:color w:val="auto"/>
                <w:highlight w:val="none"/>
              </w:rPr>
              <w:t>3.强制服务器模拟器对以下服务进行否定响应， 客户端能够如前一样继续；</w:t>
            </w:r>
          </w:p>
          <w:p>
            <w:pPr>
              <w:spacing w:before="40" w:after="40"/>
              <w:rPr>
                <w:rFonts w:ascii="宋体" w:eastAsia="Times New Roman"/>
                <w:color w:val="auto"/>
                <w:highlight w:val="none"/>
              </w:rPr>
            </w:pPr>
            <w:r>
              <w:rPr>
                <w:rFonts w:ascii="宋体" w:hAnsi="宋体"/>
                <w:color w:val="auto"/>
                <w:highlight w:val="none"/>
              </w:rPr>
              <w:t>4</w:t>
            </w:r>
            <w:r>
              <w:rPr>
                <w:rFonts w:hint="eastAsia" w:ascii="宋体" w:hAnsi="宋体"/>
                <w:color w:val="auto"/>
                <w:highlight w:val="none"/>
              </w:rPr>
              <w:t>. 客户端应能够读取当前定值组的定值[FC=SG]；</w:t>
            </w:r>
          </w:p>
          <w:p>
            <w:pPr>
              <w:spacing w:before="40" w:after="40"/>
              <w:rPr>
                <w:rFonts w:ascii="宋体" w:eastAsia="Times New Roman"/>
                <w:color w:val="auto"/>
                <w:highlight w:val="none"/>
              </w:rPr>
            </w:pPr>
            <w:r>
              <w:rPr>
                <w:rFonts w:hint="eastAsia" w:ascii="宋体" w:hAnsi="宋体"/>
                <w:color w:val="auto"/>
                <w:highlight w:val="none"/>
              </w:rPr>
              <w:t>5. 客户端应能够编辑定值组定值。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1如果客户端支持自描述，触发其启动自描述过程并检查发送的GetLogicalNodeDirectory(SGCB)请求，以及所收到的肯定响应；</w:t>
            </w:r>
          </w:p>
          <w:p>
            <w:pPr>
              <w:spacing w:before="40" w:after="40"/>
              <w:rPr>
                <w:rFonts w:ascii="宋体" w:eastAsia="Times New Roman"/>
                <w:color w:val="auto"/>
                <w:highlight w:val="none"/>
              </w:rPr>
            </w:pPr>
            <w:r>
              <w:rPr>
                <w:rFonts w:hint="eastAsia" w:ascii="宋体" w:hAnsi="宋体"/>
                <w:color w:val="auto"/>
                <w:highlight w:val="none"/>
              </w:rPr>
              <w:t>2检查客户端能够选择一个定值组（IEC 61850-7-2，13章，图18）</w:t>
            </w:r>
          </w:p>
          <w:p>
            <w:pPr>
              <w:spacing w:before="40" w:after="40"/>
              <w:rPr>
                <w:rFonts w:ascii="宋体" w:eastAsia="Times New Roman"/>
                <w:color w:val="auto"/>
                <w:highlight w:val="none"/>
              </w:rPr>
            </w:pPr>
            <w:r>
              <w:rPr>
                <w:rFonts w:hint="eastAsia" w:ascii="宋体" w:hAnsi="宋体"/>
                <w:color w:val="auto"/>
                <w:highlight w:val="none"/>
              </w:rPr>
              <w:t>a) SelectActiveSG第一组定值</w:t>
            </w:r>
          </w:p>
          <w:p>
            <w:pPr>
              <w:spacing w:before="40" w:after="40"/>
              <w:rPr>
                <w:rFonts w:ascii="宋体" w:eastAsia="Times New Roman"/>
                <w:color w:val="auto"/>
                <w:highlight w:val="none"/>
              </w:rPr>
            </w:pPr>
            <w:r>
              <w:rPr>
                <w:rFonts w:hint="eastAsia" w:ascii="宋体" w:hAnsi="宋体"/>
                <w:color w:val="auto"/>
                <w:highlight w:val="none"/>
              </w:rPr>
              <w:t>b) GetSGCBValues检查当前定值区是否切换</w:t>
            </w:r>
          </w:p>
          <w:p>
            <w:pPr>
              <w:spacing w:before="40" w:after="40"/>
              <w:rPr>
                <w:rFonts w:ascii="宋体" w:eastAsia="Times New Roman"/>
                <w:color w:val="auto"/>
                <w:highlight w:val="none"/>
              </w:rPr>
            </w:pPr>
            <w:r>
              <w:rPr>
                <w:rFonts w:hint="eastAsia" w:ascii="宋体" w:hAnsi="宋体"/>
                <w:color w:val="auto"/>
                <w:highlight w:val="none"/>
              </w:rPr>
              <w:t>c) 重复以上步骤至其它定值区</w:t>
            </w:r>
          </w:p>
          <w:p>
            <w:pPr>
              <w:spacing w:before="40" w:after="40"/>
              <w:rPr>
                <w:rFonts w:ascii="宋体" w:eastAsia="Times New Roman"/>
                <w:color w:val="auto"/>
                <w:highlight w:val="none"/>
              </w:rPr>
            </w:pPr>
            <w:r>
              <w:rPr>
                <w:rFonts w:hint="eastAsia" w:ascii="宋体" w:hAnsi="宋体"/>
                <w:color w:val="auto"/>
                <w:highlight w:val="none"/>
              </w:rPr>
              <w:t>3强制服务器模拟器对以下服务进行否定响应，检查客户端能够如前一样继续</w:t>
            </w:r>
          </w:p>
          <w:p>
            <w:pPr>
              <w:spacing w:before="40" w:after="40"/>
              <w:rPr>
                <w:rFonts w:ascii="宋体" w:hAnsi="宋体"/>
                <w:color w:val="auto"/>
                <w:highlight w:val="none"/>
              </w:rPr>
            </w:pPr>
            <w:r>
              <w:rPr>
                <w:rFonts w:hint="eastAsia" w:ascii="宋体" w:hAnsi="宋体"/>
                <w:color w:val="auto"/>
                <w:highlight w:val="none"/>
              </w:rPr>
              <w:t>a) SelectActiveSG (IEC 61850-7-2 ，13.3.2)</w:t>
            </w:r>
          </w:p>
          <w:p>
            <w:pPr>
              <w:spacing w:before="40" w:after="40"/>
              <w:rPr>
                <w:rFonts w:ascii="宋体" w:hAnsi="宋体"/>
                <w:color w:val="auto"/>
                <w:highlight w:val="none"/>
              </w:rPr>
            </w:pPr>
            <w:r>
              <w:rPr>
                <w:rFonts w:hint="eastAsia" w:ascii="宋体" w:hAnsi="宋体"/>
                <w:color w:val="auto"/>
                <w:highlight w:val="none"/>
              </w:rPr>
              <w:t>b) GetSGCBValues (IEC 61850-7-2 ，13.3.7)</w:t>
            </w:r>
          </w:p>
          <w:p>
            <w:pPr>
              <w:spacing w:before="40" w:after="40"/>
              <w:rPr>
                <w:rFonts w:ascii="宋体" w:hAnsi="宋体"/>
                <w:color w:val="auto"/>
                <w:highlight w:val="none"/>
              </w:rPr>
            </w:pPr>
            <w:r>
              <w:rPr>
                <w:rFonts w:hint="eastAsia" w:ascii="宋体" w:hAnsi="宋体"/>
                <w:color w:val="auto"/>
                <w:highlight w:val="none"/>
              </w:rPr>
              <w:t>4检查客户端能够读取当前定值组的定值[FC=SG] (IEC 61850-7-2 , 13章图 18);</w:t>
            </w:r>
          </w:p>
          <w:p>
            <w:pPr>
              <w:spacing w:before="40" w:after="40"/>
              <w:rPr>
                <w:rFonts w:ascii="宋体" w:eastAsia="Times New Roman"/>
                <w:color w:val="auto"/>
                <w:highlight w:val="none"/>
              </w:rPr>
            </w:pPr>
            <w:r>
              <w:rPr>
                <w:rFonts w:hint="eastAsia" w:ascii="宋体" w:hAnsi="宋体"/>
                <w:color w:val="auto"/>
                <w:highlight w:val="none"/>
              </w:rPr>
              <w:t>a) SelectActiveSG至第一组</w:t>
            </w:r>
          </w:p>
          <w:p>
            <w:pPr>
              <w:spacing w:before="40" w:after="40"/>
              <w:rPr>
                <w:rFonts w:ascii="宋体" w:eastAsia="Times New Roman"/>
                <w:color w:val="auto"/>
                <w:highlight w:val="none"/>
              </w:rPr>
            </w:pPr>
            <w:r>
              <w:rPr>
                <w:rFonts w:hint="eastAsia" w:ascii="宋体" w:hAnsi="宋体"/>
                <w:color w:val="auto"/>
                <w:highlight w:val="none"/>
              </w:rPr>
              <w:t>b) 使用GetSGValues[FC=SG]服务，检查其值属于第一组</w:t>
            </w:r>
          </w:p>
          <w:p>
            <w:pPr>
              <w:spacing w:before="40" w:after="40"/>
              <w:rPr>
                <w:rFonts w:ascii="宋体" w:eastAsia="Times New Roman"/>
                <w:color w:val="auto"/>
                <w:highlight w:val="none"/>
              </w:rPr>
            </w:pPr>
            <w:r>
              <w:rPr>
                <w:rFonts w:hint="eastAsia" w:ascii="宋体" w:hAnsi="宋体"/>
                <w:color w:val="auto"/>
                <w:highlight w:val="none"/>
              </w:rPr>
              <w:t>c) 重复其它定值组</w:t>
            </w:r>
          </w:p>
          <w:p>
            <w:pPr>
              <w:pStyle w:val="198"/>
              <w:spacing w:before="156" w:after="156" w:line="312" w:lineRule="auto"/>
              <w:rPr>
                <w:rFonts w:ascii="宋体" w:eastAsia="Times New Roman"/>
                <w:color w:val="auto"/>
                <w:highlight w:val="none"/>
              </w:rPr>
            </w:pPr>
            <w:r>
              <w:rPr>
                <w:rFonts w:ascii="宋体" w:hAnsi="宋体"/>
                <w:color w:val="auto"/>
                <w:highlight w:val="none"/>
              </w:rPr>
              <w:t>5检查客户端能够编辑定值组定值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客户端自描述功能为可选功能。</w:t>
            </w:r>
          </w:p>
        </w:tc>
      </w:tr>
    </w:tbl>
    <w:p>
      <w:pPr>
        <w:pStyle w:val="4"/>
        <w:spacing w:before="156" w:after="156"/>
        <w:rPr>
          <w:rFonts w:ascii="仿宋_GB2312" w:eastAsia="仿宋_GB2312"/>
          <w:color w:val="auto"/>
          <w:highlight w:val="none"/>
        </w:rPr>
      </w:pPr>
    </w:p>
    <w:p>
      <w:pPr>
        <w:outlineLvl w:val="2"/>
        <w:rPr>
          <w:color w:val="auto"/>
          <w:highlight w:val="none"/>
        </w:rPr>
      </w:pPr>
      <w:bookmarkStart w:id="301" w:name="_Toc484019008"/>
      <w:bookmarkStart w:id="302" w:name="_Toc528273624"/>
      <w:bookmarkStart w:id="303" w:name="_Toc238866315"/>
      <w:r>
        <w:rPr>
          <w:color w:val="auto"/>
          <w:highlight w:val="none"/>
        </w:rPr>
        <w:t>A.9</w:t>
      </w:r>
      <w:r>
        <w:rPr>
          <w:color w:val="auto"/>
          <w:highlight w:val="none"/>
        </w:rPr>
        <w:tab/>
      </w:r>
      <w:r>
        <w:rPr>
          <w:color w:val="auto"/>
          <w:highlight w:val="none"/>
        </w:rPr>
        <w:t>非缓存报告</w:t>
      </w:r>
      <w:bookmarkEnd w:id="301"/>
      <w:bookmarkEnd w:id="302"/>
      <w:bookmarkEnd w:id="30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407"/>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407"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非缓存报告测试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被测客户端非缓存报告符合标准要求。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827"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hAnsi="宋体"/>
                <w:color w:val="auto"/>
                <w:highlight w:val="none"/>
              </w:rPr>
            </w:pPr>
            <w:r>
              <w:rPr>
                <w:rFonts w:hint="eastAsia" w:ascii="宋体" w:hAnsi="宋体"/>
                <w:color w:val="auto"/>
                <w:highlight w:val="none"/>
              </w:rPr>
              <w:t>1.客户端应支持自描述，触发启动自描述过程，检查其向配置服务器的逻辑节点发送GetLogicalNodeDirectory(URCB)请求；</w:t>
            </w:r>
          </w:p>
          <w:p>
            <w:pPr>
              <w:pStyle w:val="198"/>
              <w:spacing w:before="0" w:after="0"/>
              <w:rPr>
                <w:rFonts w:ascii="宋体" w:hAnsi="宋体"/>
                <w:color w:val="auto"/>
                <w:highlight w:val="none"/>
              </w:rPr>
            </w:pPr>
            <w:r>
              <w:rPr>
                <w:rFonts w:hint="eastAsia" w:ascii="宋体" w:hAnsi="宋体"/>
                <w:color w:val="auto"/>
                <w:highlight w:val="none"/>
              </w:rPr>
              <w:t>2．客户端在启动后使用SetURCBValues修改服务器非缓冲报告控制块的参数，检查SetURCBValues请求发送时带有配置值；</w:t>
            </w:r>
          </w:p>
          <w:p>
            <w:pPr>
              <w:pStyle w:val="198"/>
              <w:spacing w:before="0" w:after="0"/>
              <w:rPr>
                <w:rFonts w:ascii="宋体" w:hAnsi="宋体"/>
                <w:color w:val="auto"/>
                <w:highlight w:val="none"/>
              </w:rPr>
            </w:pPr>
            <w:r>
              <w:rPr>
                <w:rFonts w:hint="eastAsia" w:ascii="宋体" w:hAnsi="宋体"/>
                <w:color w:val="auto"/>
                <w:highlight w:val="none"/>
              </w:rPr>
              <w:t>3.客户端能够处理带有不同可选域的报告；</w:t>
            </w:r>
          </w:p>
          <w:p>
            <w:pPr>
              <w:pStyle w:val="198"/>
              <w:spacing w:before="0" w:after="0"/>
              <w:rPr>
                <w:rFonts w:ascii="宋体" w:hAnsi="宋体"/>
                <w:color w:val="auto"/>
                <w:highlight w:val="none"/>
              </w:rPr>
            </w:pPr>
            <w:r>
              <w:rPr>
                <w:rFonts w:hint="eastAsia" w:ascii="宋体" w:hAnsi="宋体"/>
                <w:color w:val="auto"/>
                <w:highlight w:val="none"/>
              </w:rPr>
              <w:t>4.客户端能够处理带有不同触发条件的报告；</w:t>
            </w:r>
          </w:p>
          <w:p>
            <w:pPr>
              <w:pStyle w:val="198"/>
              <w:spacing w:before="0" w:after="0"/>
              <w:rPr>
                <w:rFonts w:ascii="宋体" w:hAnsi="宋体"/>
                <w:color w:val="auto"/>
                <w:highlight w:val="none"/>
              </w:rPr>
            </w:pPr>
            <w:r>
              <w:rPr>
                <w:rFonts w:hint="eastAsia" w:ascii="宋体" w:hAnsi="宋体"/>
                <w:color w:val="auto"/>
                <w:highlight w:val="none"/>
              </w:rPr>
              <w:t>5.客户端能够</w:t>
            </w:r>
            <w:r>
              <w:rPr>
                <w:rFonts w:ascii="宋体" w:hAnsi="宋体"/>
                <w:color w:val="auto"/>
                <w:highlight w:val="none"/>
              </w:rPr>
              <w:t>处理分段报告；</w:t>
            </w:r>
          </w:p>
          <w:p>
            <w:pPr>
              <w:pStyle w:val="198"/>
              <w:spacing w:before="0" w:after="0"/>
              <w:rPr>
                <w:rFonts w:ascii="宋体" w:hAnsi="宋体"/>
                <w:color w:val="auto"/>
                <w:highlight w:val="none"/>
              </w:rPr>
            </w:pPr>
            <w:r>
              <w:rPr>
                <w:rFonts w:ascii="宋体" w:hAnsi="宋体"/>
                <w:color w:val="auto"/>
                <w:highlight w:val="none"/>
              </w:rPr>
              <w:t>6．客户端能够改变（预）配置的Buffer Time (IEC 61850-7-2 ，14.2.2.9)</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7.客户端能够触发总召唤</w:t>
            </w:r>
            <w:r>
              <w:rPr>
                <w:rFonts w:hint="eastAsia" w:ascii="宋体" w:hAnsi="宋体"/>
                <w:color w:val="auto"/>
                <w:highlight w:val="none"/>
              </w:rPr>
              <w:t>；</w:t>
            </w:r>
          </w:p>
          <w:p>
            <w:pPr>
              <w:pStyle w:val="198"/>
              <w:spacing w:before="0" w:after="0"/>
              <w:rPr>
                <w:rFonts w:ascii="宋体" w:hAnsi="宋体"/>
                <w:color w:val="auto"/>
                <w:highlight w:val="none"/>
              </w:rPr>
            </w:pPr>
            <w:r>
              <w:rPr>
                <w:rFonts w:ascii="宋体" w:hAnsi="宋体"/>
                <w:color w:val="auto"/>
                <w:highlight w:val="none"/>
              </w:rPr>
              <w:t>8.启动后客户端能按照SCD文件配置和使能URCB。客户端可以按照SCL修改URCB中的“dyn”域</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9.客户端能够处理复杂结构型数据（如WYE和DEL数据对象）的报告</w:t>
            </w:r>
            <w:r>
              <w:rPr>
                <w:rFonts w:hint="eastAsia" w:ascii="宋体" w:hAnsi="宋体"/>
                <w:color w:val="auto"/>
                <w:highlight w:val="none"/>
              </w:rPr>
              <w:t>；</w:t>
            </w:r>
          </w:p>
          <w:p>
            <w:pPr>
              <w:pStyle w:val="198"/>
              <w:spacing w:before="0" w:after="0"/>
              <w:rPr>
                <w:rFonts w:ascii="宋体" w:eastAsiaTheme="minorEastAsia"/>
                <w:color w:val="auto"/>
                <w:highlight w:val="none"/>
              </w:rPr>
            </w:pPr>
            <w:r>
              <w:rPr>
                <w:rFonts w:ascii="宋体" w:hAnsi="宋体"/>
                <w:color w:val="auto"/>
                <w:highlight w:val="none"/>
              </w:rPr>
              <w:t>10.客户端能够处理基本类型数据的报告（如stVal和quality）</w:t>
            </w:r>
            <w:r>
              <w:rPr>
                <w:rFonts w:hint="eastAsia" w:ascii="宋体" w:hAnsi="宋体"/>
                <w:color w:val="auto"/>
                <w:highlight w:val="none"/>
              </w:rPr>
              <w:t>；</w:t>
            </w:r>
          </w:p>
          <w:p>
            <w:pPr>
              <w:pStyle w:val="198"/>
              <w:spacing w:before="0" w:after="0"/>
              <w:rPr>
                <w:rFonts w:ascii="宋体" w:hAnsi="宋体"/>
                <w:color w:val="auto"/>
                <w:highlight w:val="none"/>
              </w:rPr>
            </w:pPr>
            <w:r>
              <w:rPr>
                <w:rFonts w:ascii="宋体" w:hAnsi="宋体"/>
                <w:color w:val="auto"/>
                <w:highlight w:val="none"/>
              </w:rPr>
              <w:t>11.</w:t>
            </w:r>
            <w:r>
              <w:rPr>
                <w:rFonts w:hint="eastAsia" w:ascii="宋体" w:hAnsi="宋体"/>
                <w:color w:val="auto"/>
                <w:highlight w:val="none"/>
              </w:rPr>
              <w:t>客户端应支持自描述，触发客户端启动自描述过程，检查客户端当发送GetLogicalNodeDirectory (URCB)收到否定响应后能继续与其它服务器通信；</w:t>
            </w:r>
          </w:p>
          <w:p>
            <w:pPr>
              <w:pStyle w:val="198"/>
              <w:spacing w:before="0" w:after="0"/>
              <w:rPr>
                <w:rFonts w:ascii="宋体" w:eastAsia="Times New Roman"/>
                <w:color w:val="auto"/>
                <w:highlight w:val="none"/>
              </w:rPr>
            </w:pPr>
            <w:r>
              <w:rPr>
                <w:rFonts w:ascii="宋体" w:hAnsi="宋体"/>
                <w:color w:val="auto"/>
                <w:highlight w:val="none"/>
              </w:rPr>
              <w:t>12.当URCB已经被其它客户端</w:t>
            </w:r>
            <w:r>
              <w:rPr>
                <w:rFonts w:hint="eastAsia" w:ascii="宋体" w:hAnsi="宋体"/>
                <w:color w:val="auto"/>
                <w:highlight w:val="none"/>
              </w:rPr>
              <w:t>占</w:t>
            </w:r>
            <w:r>
              <w:rPr>
                <w:rFonts w:ascii="宋体" w:hAnsi="宋体"/>
                <w:color w:val="auto"/>
                <w:highlight w:val="none"/>
              </w:rPr>
              <w:t>用时，客户端发送SetUBRCBValues请求后仍然能正常工作（PIXIT）</w:t>
            </w:r>
          </w:p>
          <w:p>
            <w:pPr>
              <w:pStyle w:val="198"/>
              <w:spacing w:before="0" w:after="0"/>
              <w:rPr>
                <w:rFonts w:ascii="宋体" w:eastAsia="Times New Roman"/>
                <w:color w:val="auto"/>
                <w:highlight w:val="none"/>
              </w:rPr>
            </w:pPr>
            <w:r>
              <w:rPr>
                <w:rFonts w:ascii="宋体" w:hAnsi="宋体"/>
                <w:color w:val="auto"/>
                <w:highlight w:val="none"/>
              </w:rPr>
              <w:t>13.用不支持的可选域上送报告，检查客户端当收到未配置或不支持的可选域时，程序不会崩溃</w:t>
            </w:r>
          </w:p>
          <w:p>
            <w:pPr>
              <w:pStyle w:val="198"/>
              <w:spacing w:before="0" w:after="0"/>
              <w:rPr>
                <w:rFonts w:ascii="宋体" w:eastAsia="Times New Roman"/>
                <w:color w:val="auto"/>
                <w:highlight w:val="none"/>
              </w:rPr>
            </w:pPr>
            <w:r>
              <w:rPr>
                <w:rFonts w:ascii="宋体" w:hAnsi="宋体"/>
                <w:color w:val="auto"/>
                <w:highlight w:val="none"/>
              </w:rPr>
              <w:t>14.用不支持的触发选项上送报告，检查客户端当收到未配置或不支持的触发选项时，程序不会崩溃；</w:t>
            </w:r>
          </w:p>
          <w:p>
            <w:pPr>
              <w:pStyle w:val="198"/>
              <w:spacing w:before="0" w:after="0"/>
              <w:rPr>
                <w:rFonts w:ascii="宋体" w:hAnsi="宋体"/>
                <w:color w:val="auto"/>
                <w:highlight w:val="none"/>
              </w:rPr>
            </w:pPr>
            <w:r>
              <w:rPr>
                <w:rFonts w:ascii="宋体" w:hAnsi="宋体"/>
                <w:color w:val="auto"/>
                <w:highlight w:val="none"/>
              </w:rPr>
              <w:t>15.</w:t>
            </w:r>
            <w:r>
              <w:rPr>
                <w:rFonts w:hint="eastAsia" w:ascii="宋体" w:hAnsi="宋体"/>
                <w:color w:val="auto"/>
                <w:highlight w:val="none"/>
              </w:rPr>
              <w:t>客户端</w:t>
            </w:r>
            <w:r>
              <w:rPr>
                <w:rFonts w:ascii="宋体" w:hAnsi="宋体"/>
                <w:color w:val="auto"/>
                <w:highlight w:val="none"/>
              </w:rPr>
              <w:t>按照</w:t>
            </w:r>
            <w:r>
              <w:rPr>
                <w:rFonts w:hint="eastAsia" w:ascii="宋体" w:hAnsi="宋体"/>
                <w:color w:val="auto"/>
                <w:highlight w:val="none"/>
              </w:rPr>
              <w:t>PIXIT规定</w:t>
            </w:r>
            <w:r>
              <w:rPr>
                <w:rFonts w:ascii="宋体" w:hAnsi="宋体"/>
                <w:color w:val="auto"/>
                <w:highlight w:val="none"/>
              </w:rPr>
              <w:t>方式处理不匹配报告；</w:t>
            </w:r>
          </w:p>
          <w:p>
            <w:pPr>
              <w:pStyle w:val="198"/>
              <w:spacing w:before="0" w:after="0"/>
              <w:rPr>
                <w:rFonts w:ascii="宋体" w:hAnsi="宋体"/>
                <w:color w:val="auto"/>
                <w:highlight w:val="none"/>
              </w:rPr>
            </w:pPr>
            <w:r>
              <w:rPr>
                <w:rFonts w:hint="eastAsia" w:ascii="宋体" w:hAnsi="宋体"/>
                <w:color w:val="auto"/>
                <w:highlight w:val="none"/>
              </w:rPr>
              <w:t>16.</w:t>
            </w:r>
            <w:r>
              <w:rPr>
                <w:rFonts w:ascii="宋体" w:hAnsi="宋体"/>
                <w:color w:val="auto"/>
                <w:highlight w:val="none"/>
              </w:rPr>
              <w:t>客户端能检测报告控制块ConfRev属性的变化（配置版本，IEC 61850-7-2, 14.2.2.7）。当客户端不检查ConfRev时，应检查数据集元素。相关检测方法应在PIXIT中说明</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827"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hAnsi="宋体"/>
                <w:color w:val="auto"/>
                <w:highlight w:val="none"/>
              </w:rPr>
            </w:pPr>
            <w:r>
              <w:rPr>
                <w:rFonts w:hint="eastAsia" w:ascii="宋体" w:hAnsi="宋体"/>
                <w:color w:val="auto"/>
                <w:highlight w:val="none"/>
              </w:rPr>
              <w:t>1.如果客户端支持自描述，触发启动自描述过程，检查其向配置服务器的逻辑节点发送GetLogicalNodeDirectory(URCB)请求；</w:t>
            </w:r>
          </w:p>
          <w:p>
            <w:pPr>
              <w:pStyle w:val="198"/>
              <w:spacing w:before="0" w:after="0"/>
              <w:rPr>
                <w:rFonts w:ascii="宋体" w:hAnsi="宋体"/>
                <w:color w:val="auto"/>
                <w:highlight w:val="none"/>
              </w:rPr>
            </w:pPr>
            <w:r>
              <w:rPr>
                <w:rFonts w:hint="eastAsia" w:ascii="宋体" w:hAnsi="宋体"/>
                <w:color w:val="auto"/>
                <w:highlight w:val="none"/>
              </w:rPr>
              <w:t>2.如果客户端在启动后使用SetURCBValues修改服务器非缓冲报告控制块的参数,检查SetURCBValues请求发送时带有配置值；</w:t>
            </w:r>
          </w:p>
          <w:p>
            <w:pPr>
              <w:pStyle w:val="198"/>
              <w:spacing w:before="0" w:after="0"/>
              <w:rPr>
                <w:rFonts w:ascii="宋体" w:hAnsi="宋体"/>
                <w:color w:val="auto"/>
                <w:highlight w:val="none"/>
              </w:rPr>
            </w:pPr>
            <w:r>
              <w:rPr>
                <w:rFonts w:ascii="宋体" w:hAnsi="宋体"/>
                <w:color w:val="auto"/>
                <w:highlight w:val="none"/>
              </w:rPr>
              <w:t>3.</w:t>
            </w:r>
            <w:r>
              <w:rPr>
                <w:rFonts w:hint="eastAsia" w:ascii="宋体" w:hAnsi="宋体"/>
                <w:color w:val="auto"/>
                <w:highlight w:val="none"/>
              </w:rPr>
              <w:t>检查客户端能够处理带有不同可选域的报告：</w:t>
            </w:r>
          </w:p>
          <w:p>
            <w:pPr>
              <w:pStyle w:val="198"/>
              <w:spacing w:before="0" w:after="0"/>
              <w:rPr>
                <w:rFonts w:ascii="宋体" w:hAnsi="宋体"/>
                <w:color w:val="auto"/>
                <w:highlight w:val="none"/>
              </w:rPr>
            </w:pPr>
            <w:r>
              <w:rPr>
                <w:rFonts w:hint="eastAsia" w:ascii="宋体" w:hAnsi="宋体"/>
                <w:color w:val="auto"/>
                <w:highlight w:val="none"/>
              </w:rPr>
              <w:t>配置客户端配置/使能URCB使用以下可选域的组合：sequence-number, report-time-stamp, reason-for-inclusion, data-set-name and/or data-reference (IEC 61850-7-2, 14.2.3.2.2.1)，检查客户端能够处理报告，更新数据库</w:t>
            </w:r>
          </w:p>
          <w:p>
            <w:pPr>
              <w:pStyle w:val="198"/>
              <w:spacing w:before="0" w:after="0"/>
              <w:rPr>
                <w:rFonts w:ascii="宋体" w:hAnsi="宋体"/>
                <w:color w:val="auto"/>
                <w:highlight w:val="none"/>
              </w:rPr>
            </w:pPr>
            <w:r>
              <w:rPr>
                <w:rFonts w:ascii="宋体" w:hAnsi="宋体"/>
                <w:color w:val="auto"/>
                <w:highlight w:val="none"/>
              </w:rPr>
              <w:t>4.</w:t>
            </w:r>
            <w:r>
              <w:rPr>
                <w:rFonts w:hint="eastAsia" w:ascii="宋体" w:hAnsi="宋体"/>
                <w:color w:val="auto"/>
                <w:highlight w:val="none"/>
              </w:rPr>
              <w:t>检查客户端能够处理带有不同触发条件的报告：</w:t>
            </w:r>
          </w:p>
          <w:p>
            <w:pPr>
              <w:pStyle w:val="198"/>
              <w:spacing w:before="0" w:after="0"/>
              <w:rPr>
                <w:rFonts w:ascii="宋体" w:hAnsi="宋体"/>
                <w:color w:val="auto"/>
                <w:highlight w:val="none"/>
              </w:rPr>
            </w:pPr>
            <w:r>
              <w:rPr>
                <w:rFonts w:hint="eastAsia" w:ascii="宋体" w:hAnsi="宋体"/>
                <w:color w:val="auto"/>
                <w:highlight w:val="none"/>
              </w:rPr>
              <w:t>配置客户端配置/使能URCB使用所有支持的可选域，并检查报告按照以下（支持的）触发条件传送：</w:t>
            </w:r>
          </w:p>
          <w:p>
            <w:pPr>
              <w:pStyle w:val="198"/>
              <w:spacing w:before="0" w:after="0"/>
              <w:rPr>
                <w:rFonts w:ascii="宋体" w:hAnsi="宋体"/>
                <w:color w:val="auto"/>
                <w:highlight w:val="none"/>
              </w:rPr>
            </w:pPr>
            <w:r>
              <w:rPr>
                <w:rFonts w:hint="eastAsia" w:ascii="宋体" w:hAnsi="宋体"/>
                <w:color w:val="auto"/>
                <w:highlight w:val="none"/>
              </w:rPr>
              <w:t>a) 完整性周期</w:t>
            </w:r>
          </w:p>
          <w:p>
            <w:pPr>
              <w:pStyle w:val="198"/>
              <w:spacing w:before="0" w:after="0"/>
              <w:rPr>
                <w:rFonts w:ascii="宋体" w:hAnsi="宋体"/>
                <w:color w:val="auto"/>
                <w:highlight w:val="none"/>
              </w:rPr>
            </w:pPr>
            <w:r>
              <w:rPr>
                <w:rFonts w:hint="eastAsia" w:ascii="宋体" w:hAnsi="宋体"/>
                <w:color w:val="auto"/>
                <w:highlight w:val="none"/>
              </w:rPr>
              <w:t>b) 数据更新</w:t>
            </w:r>
          </w:p>
          <w:p>
            <w:pPr>
              <w:pStyle w:val="198"/>
              <w:spacing w:before="0" w:after="0"/>
              <w:rPr>
                <w:rFonts w:ascii="宋体" w:hAnsi="宋体"/>
                <w:color w:val="auto"/>
                <w:highlight w:val="none"/>
              </w:rPr>
            </w:pPr>
            <w:r>
              <w:rPr>
                <w:rFonts w:hint="eastAsia" w:ascii="宋体" w:hAnsi="宋体"/>
                <w:color w:val="auto"/>
                <w:highlight w:val="none"/>
              </w:rPr>
              <w:t>c) 完整性周期加数据更新</w:t>
            </w:r>
          </w:p>
          <w:p>
            <w:pPr>
              <w:pStyle w:val="198"/>
              <w:spacing w:before="0" w:after="0"/>
              <w:rPr>
                <w:rFonts w:ascii="宋体" w:hAnsi="宋体"/>
                <w:color w:val="auto"/>
                <w:highlight w:val="none"/>
              </w:rPr>
            </w:pPr>
            <w:r>
              <w:rPr>
                <w:rFonts w:ascii="宋体" w:hAnsi="宋体"/>
                <w:color w:val="auto"/>
                <w:highlight w:val="none"/>
              </w:rPr>
              <w:t>d) 数据变化</w:t>
            </w:r>
          </w:p>
          <w:p>
            <w:pPr>
              <w:pStyle w:val="198"/>
              <w:spacing w:before="0" w:after="0"/>
              <w:rPr>
                <w:rFonts w:ascii="宋体" w:hAnsi="宋体"/>
                <w:color w:val="auto"/>
                <w:highlight w:val="none"/>
              </w:rPr>
            </w:pPr>
            <w:r>
              <w:rPr>
                <w:rFonts w:ascii="宋体" w:hAnsi="宋体"/>
                <w:color w:val="auto"/>
                <w:highlight w:val="none"/>
              </w:rPr>
              <w:t>e) 数据变化和品质变化</w:t>
            </w:r>
          </w:p>
          <w:p>
            <w:pPr>
              <w:pStyle w:val="198"/>
              <w:spacing w:before="0" w:after="0"/>
              <w:rPr>
                <w:rFonts w:ascii="宋体" w:hAnsi="宋体"/>
                <w:color w:val="auto"/>
                <w:highlight w:val="none"/>
              </w:rPr>
            </w:pPr>
            <w:r>
              <w:rPr>
                <w:rFonts w:ascii="宋体" w:hAnsi="宋体"/>
                <w:color w:val="auto"/>
                <w:highlight w:val="none"/>
              </w:rPr>
              <w:t>f) 完整性周期加数据变化和品质变化</w:t>
            </w:r>
          </w:p>
          <w:p>
            <w:pPr>
              <w:pStyle w:val="198"/>
              <w:spacing w:before="0" w:after="0"/>
              <w:rPr>
                <w:rFonts w:ascii="宋体" w:hAnsi="宋体"/>
                <w:color w:val="auto"/>
                <w:highlight w:val="none"/>
              </w:rPr>
            </w:pPr>
            <w:r>
              <w:rPr>
                <w:rFonts w:ascii="宋体" w:hAnsi="宋体"/>
                <w:color w:val="auto"/>
                <w:highlight w:val="none"/>
              </w:rPr>
              <w:t>5.检查客户端能够处理分段报告</w:t>
            </w:r>
          </w:p>
          <w:p>
            <w:pPr>
              <w:pStyle w:val="198"/>
              <w:spacing w:before="0" w:after="0"/>
              <w:rPr>
                <w:rFonts w:ascii="宋体" w:hAnsi="宋体"/>
                <w:color w:val="auto"/>
                <w:highlight w:val="none"/>
              </w:rPr>
            </w:pPr>
            <w:r>
              <w:rPr>
                <w:rFonts w:ascii="宋体" w:hAnsi="宋体"/>
                <w:color w:val="auto"/>
                <w:highlight w:val="none"/>
              </w:rPr>
              <w:t>6.检查客户端能够改变（预）配置的Buffer Time (IEC 61850-7-2 ，14.2.2.9)</w:t>
            </w:r>
          </w:p>
          <w:p>
            <w:pPr>
              <w:pStyle w:val="198"/>
              <w:spacing w:before="0" w:after="0"/>
              <w:rPr>
                <w:rFonts w:ascii="宋体" w:hAnsi="宋体"/>
                <w:color w:val="auto"/>
                <w:highlight w:val="none"/>
              </w:rPr>
            </w:pPr>
            <w:r>
              <w:rPr>
                <w:rFonts w:ascii="宋体" w:hAnsi="宋体"/>
                <w:color w:val="auto"/>
                <w:highlight w:val="none"/>
              </w:rPr>
              <w:t>7.检查客户端能够触发总召唤</w:t>
            </w:r>
          </w:p>
          <w:p>
            <w:pPr>
              <w:pStyle w:val="198"/>
              <w:spacing w:before="0" w:after="0"/>
              <w:rPr>
                <w:rFonts w:ascii="宋体" w:hAnsi="宋体"/>
                <w:color w:val="auto"/>
                <w:highlight w:val="none"/>
              </w:rPr>
            </w:pPr>
            <w:r>
              <w:rPr>
                <w:rFonts w:ascii="宋体" w:hAnsi="宋体"/>
                <w:color w:val="auto"/>
                <w:highlight w:val="none"/>
              </w:rPr>
              <w:t>8.检查启动后客户端能按照SCD文件配置和使能URCB。客户端可以按照SCL修改URCB中的“dyn”域</w:t>
            </w:r>
          </w:p>
          <w:p>
            <w:pPr>
              <w:pStyle w:val="198"/>
              <w:spacing w:before="0" w:after="0"/>
              <w:rPr>
                <w:rFonts w:ascii="宋体" w:hAnsi="宋体"/>
                <w:color w:val="auto"/>
                <w:highlight w:val="none"/>
              </w:rPr>
            </w:pPr>
            <w:r>
              <w:rPr>
                <w:rFonts w:ascii="宋体" w:hAnsi="宋体"/>
                <w:color w:val="auto"/>
                <w:highlight w:val="none"/>
              </w:rPr>
              <w:t>9.检查客户端能够处理复杂结构型数据（如WYE和DEL数据对象）的报告</w:t>
            </w:r>
          </w:p>
          <w:p>
            <w:pPr>
              <w:pStyle w:val="198"/>
              <w:spacing w:before="0" w:after="0"/>
              <w:rPr>
                <w:rFonts w:ascii="宋体" w:hAnsi="宋体"/>
                <w:color w:val="auto"/>
                <w:highlight w:val="none"/>
              </w:rPr>
            </w:pPr>
            <w:r>
              <w:rPr>
                <w:rFonts w:ascii="宋体" w:hAnsi="宋体"/>
                <w:color w:val="auto"/>
                <w:highlight w:val="none"/>
              </w:rPr>
              <w:t>10.检查客户端能够处理基本类型数据的报告（如stVal和quality）</w:t>
            </w:r>
          </w:p>
          <w:p>
            <w:pPr>
              <w:pStyle w:val="198"/>
              <w:spacing w:before="0" w:after="0"/>
              <w:rPr>
                <w:rFonts w:ascii="宋体" w:hAnsi="宋体"/>
                <w:color w:val="auto"/>
                <w:highlight w:val="none"/>
              </w:rPr>
            </w:pPr>
            <w:r>
              <w:rPr>
                <w:rFonts w:ascii="宋体" w:hAnsi="宋体"/>
                <w:color w:val="auto"/>
                <w:highlight w:val="none"/>
              </w:rPr>
              <w:t>11.如果客户端支持自描述，触发客户端启动自描述过程，检查客户端当发送GetLogicalNodeDirectory (URCB)收到否定响应后能继续与其它服务器通信</w:t>
            </w:r>
          </w:p>
          <w:p>
            <w:pPr>
              <w:pStyle w:val="198"/>
              <w:spacing w:before="0" w:after="0"/>
              <w:rPr>
                <w:rFonts w:ascii="宋体" w:hAnsi="宋体"/>
                <w:color w:val="auto"/>
                <w:highlight w:val="none"/>
              </w:rPr>
            </w:pPr>
            <w:r>
              <w:rPr>
                <w:rFonts w:ascii="宋体" w:hAnsi="宋体"/>
                <w:color w:val="auto"/>
                <w:highlight w:val="none"/>
              </w:rPr>
              <w:t>a) 检查客户端发送GetURCBValues请求收到否定响应后仍然正常工作</w:t>
            </w:r>
          </w:p>
          <w:p>
            <w:pPr>
              <w:pStyle w:val="198"/>
              <w:spacing w:before="0" w:after="0"/>
              <w:rPr>
                <w:rFonts w:ascii="宋体" w:hAnsi="宋体"/>
                <w:color w:val="auto"/>
                <w:highlight w:val="none"/>
              </w:rPr>
            </w:pPr>
            <w:r>
              <w:rPr>
                <w:rFonts w:ascii="宋体" w:hAnsi="宋体"/>
                <w:color w:val="auto"/>
                <w:highlight w:val="none"/>
              </w:rPr>
              <w:t>a) 检查客户端发送SetURCBValues请求收到否定响应后仍然正常工作</w:t>
            </w:r>
          </w:p>
          <w:p>
            <w:pPr>
              <w:pStyle w:val="198"/>
              <w:spacing w:before="0" w:after="0"/>
              <w:rPr>
                <w:rFonts w:ascii="宋体" w:hAnsi="宋体"/>
                <w:color w:val="auto"/>
                <w:highlight w:val="none"/>
              </w:rPr>
            </w:pPr>
            <w:r>
              <w:rPr>
                <w:rFonts w:ascii="宋体" w:hAnsi="宋体"/>
                <w:color w:val="auto"/>
                <w:highlight w:val="none"/>
              </w:rPr>
              <w:t>12.检查当URCB已经被预定（Resv=TRUE ）时，客户端发送SetURCBValues请求后仍然能正常工作（PIXIT）</w:t>
            </w:r>
          </w:p>
          <w:p>
            <w:pPr>
              <w:pStyle w:val="198"/>
              <w:spacing w:before="0" w:after="0"/>
              <w:rPr>
                <w:rFonts w:ascii="宋体" w:hAnsi="宋体"/>
                <w:color w:val="auto"/>
                <w:highlight w:val="none"/>
              </w:rPr>
            </w:pPr>
            <w:r>
              <w:rPr>
                <w:rFonts w:ascii="宋体" w:hAnsi="宋体"/>
                <w:color w:val="auto"/>
                <w:highlight w:val="none"/>
              </w:rPr>
              <w:t>13.用不支持的可选域上送报告，检查客户端当收到未配置或不支持的可选域时，程序不会崩溃</w:t>
            </w:r>
          </w:p>
          <w:p>
            <w:pPr>
              <w:pStyle w:val="198"/>
              <w:spacing w:before="0" w:after="0"/>
              <w:rPr>
                <w:rFonts w:ascii="宋体" w:hAnsi="宋体"/>
                <w:color w:val="auto"/>
                <w:highlight w:val="none"/>
              </w:rPr>
            </w:pPr>
            <w:r>
              <w:rPr>
                <w:rFonts w:ascii="宋体" w:hAnsi="宋体"/>
                <w:color w:val="auto"/>
                <w:highlight w:val="none"/>
              </w:rPr>
              <w:t>14.用不支持的触发选项上送报告，检查客户端当收到未配置或不支持的触发选项时，程序不会崩溃</w:t>
            </w:r>
          </w:p>
          <w:p>
            <w:pPr>
              <w:pStyle w:val="198"/>
              <w:spacing w:before="0" w:after="0"/>
              <w:rPr>
                <w:rFonts w:ascii="宋体" w:hAnsi="宋体"/>
                <w:color w:val="auto"/>
                <w:highlight w:val="none"/>
              </w:rPr>
            </w:pPr>
            <w:r>
              <w:rPr>
                <w:rFonts w:ascii="宋体" w:hAnsi="宋体"/>
                <w:color w:val="auto"/>
                <w:highlight w:val="none"/>
              </w:rPr>
              <w:t>15. 检查按照PIXIT规定的处理方式不匹配的报告：</w:t>
            </w:r>
          </w:p>
          <w:p>
            <w:pPr>
              <w:pStyle w:val="198"/>
              <w:spacing w:before="0" w:after="0"/>
              <w:rPr>
                <w:rFonts w:ascii="宋体" w:hAnsi="宋体"/>
                <w:color w:val="auto"/>
                <w:highlight w:val="none"/>
              </w:rPr>
            </w:pPr>
            <w:r>
              <w:rPr>
                <w:rFonts w:ascii="宋体" w:hAnsi="宋体"/>
                <w:color w:val="auto"/>
                <w:highlight w:val="none"/>
              </w:rPr>
              <w:t>a) 用未知数据集上送的报告</w:t>
            </w:r>
          </w:p>
          <w:p>
            <w:pPr>
              <w:pStyle w:val="198"/>
              <w:spacing w:before="0" w:after="0"/>
              <w:rPr>
                <w:rFonts w:ascii="宋体" w:hAnsi="宋体"/>
                <w:color w:val="auto"/>
                <w:highlight w:val="none"/>
              </w:rPr>
            </w:pPr>
            <w:r>
              <w:rPr>
                <w:rFonts w:ascii="宋体" w:hAnsi="宋体"/>
                <w:color w:val="auto"/>
                <w:highlight w:val="none"/>
              </w:rPr>
              <w:t>b) 用未知RptID上送的报告</w:t>
            </w:r>
          </w:p>
          <w:p>
            <w:pPr>
              <w:pStyle w:val="198"/>
              <w:spacing w:before="0" w:after="0"/>
              <w:rPr>
                <w:rFonts w:ascii="宋体" w:hAnsi="宋体"/>
                <w:color w:val="auto"/>
                <w:highlight w:val="none"/>
              </w:rPr>
            </w:pPr>
            <w:r>
              <w:rPr>
                <w:rFonts w:ascii="宋体" w:hAnsi="宋体"/>
                <w:color w:val="auto"/>
                <w:highlight w:val="none"/>
              </w:rPr>
              <w:t>c) 用错误数据引用上送的报告</w:t>
            </w:r>
          </w:p>
          <w:p>
            <w:pPr>
              <w:pStyle w:val="198"/>
              <w:spacing w:before="0" w:after="0"/>
              <w:rPr>
                <w:rFonts w:ascii="宋体" w:hAnsi="宋体"/>
                <w:color w:val="auto"/>
                <w:highlight w:val="none"/>
              </w:rPr>
            </w:pPr>
            <w:r>
              <w:rPr>
                <w:rFonts w:ascii="宋体" w:hAnsi="宋体"/>
                <w:color w:val="auto"/>
                <w:highlight w:val="none"/>
              </w:rPr>
              <w:t>d) 用错误数据类型上送的报告</w:t>
            </w:r>
          </w:p>
          <w:p>
            <w:pPr>
              <w:pStyle w:val="198"/>
              <w:spacing w:before="0" w:after="0"/>
              <w:rPr>
                <w:rFonts w:ascii="宋体" w:hAnsi="宋体"/>
                <w:color w:val="auto"/>
                <w:highlight w:val="none"/>
              </w:rPr>
            </w:pPr>
            <w:r>
              <w:rPr>
                <w:rFonts w:ascii="宋体" w:hAnsi="宋体"/>
                <w:color w:val="auto"/>
                <w:highlight w:val="none"/>
              </w:rPr>
              <w:t>16.检查客户端能检测报告控制块ConfRev属性的变化（配置版本，IEC 61850-7-2, 14.2.2.7）。当客户端不检查ConfRev时，应检查数据集元素。相关检测方法应在PIXIT中说明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客户端自描述功能为可选功能。</w:t>
            </w:r>
          </w:p>
        </w:tc>
      </w:tr>
    </w:tbl>
    <w:p>
      <w:pPr>
        <w:pStyle w:val="93"/>
        <w:ind w:firstLine="420"/>
        <w:rPr>
          <w:rFonts w:eastAsia="Times New Roman"/>
          <w:color w:val="auto"/>
          <w:highlight w:val="none"/>
        </w:rPr>
      </w:pPr>
    </w:p>
    <w:p>
      <w:pPr>
        <w:outlineLvl w:val="2"/>
        <w:rPr>
          <w:rFonts w:eastAsia="Times New Roman"/>
          <w:color w:val="auto"/>
          <w:highlight w:val="none"/>
        </w:rPr>
      </w:pPr>
      <w:bookmarkStart w:id="304" w:name="_Toc176238134"/>
      <w:bookmarkStart w:id="305" w:name="_Toc484019009"/>
      <w:bookmarkStart w:id="306" w:name="_Toc528273625"/>
      <w:r>
        <w:rPr>
          <w:color w:val="auto"/>
          <w:highlight w:val="none"/>
        </w:rPr>
        <w:t xml:space="preserve">A.10 </w:t>
      </w:r>
      <w:bookmarkEnd w:id="304"/>
      <w:r>
        <w:rPr>
          <w:color w:val="auto"/>
          <w:highlight w:val="none"/>
        </w:rPr>
        <w:t>缓存报告</w:t>
      </w:r>
      <w:bookmarkEnd w:id="305"/>
      <w:bookmarkEnd w:id="30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407"/>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bookmarkStart w:id="307" w:name="_Toc238866316"/>
            <w:r>
              <w:rPr>
                <w:rFonts w:hint="eastAsia"/>
                <w:color w:val="auto"/>
                <w:highlight w:val="none"/>
              </w:rPr>
              <w:t>测试用例名称</w:t>
            </w:r>
          </w:p>
        </w:tc>
        <w:tc>
          <w:tcPr>
            <w:tcW w:w="4407"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缓存报告测试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被测客户端缓存报告符合标准要求。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827"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1．客户端支持自描述，触发启动自描述过程，检查其向配置服务器的逻辑节点发送GetLogicalNodeDirectory(BRCB)请求；</w:t>
            </w:r>
          </w:p>
          <w:p>
            <w:pPr>
              <w:pStyle w:val="198"/>
              <w:spacing w:before="0" w:after="0"/>
              <w:rPr>
                <w:rFonts w:ascii="宋体" w:eastAsia="Times New Roman"/>
                <w:color w:val="auto"/>
                <w:highlight w:val="none"/>
              </w:rPr>
            </w:pPr>
            <w:r>
              <w:rPr>
                <w:rFonts w:ascii="宋体" w:hAnsi="宋体"/>
                <w:color w:val="auto"/>
                <w:highlight w:val="none"/>
              </w:rPr>
              <w:t>2.客户端在启动后使用SetBRCBValues修改服务器缓冲报告控制块的参数，检查GetBRCBValues/SetBRCBValues请求发送时带有配置值；</w:t>
            </w:r>
          </w:p>
          <w:p>
            <w:pPr>
              <w:pStyle w:val="198"/>
              <w:spacing w:before="0" w:after="0"/>
              <w:rPr>
                <w:rFonts w:ascii="宋体" w:eastAsia="Times New Roman"/>
                <w:color w:val="auto"/>
                <w:highlight w:val="none"/>
              </w:rPr>
            </w:pPr>
            <w:r>
              <w:rPr>
                <w:rFonts w:ascii="宋体" w:hAnsi="宋体"/>
                <w:color w:val="auto"/>
                <w:highlight w:val="none"/>
              </w:rPr>
              <w:t>3.客户端能够处理带有不同可选域的报告；</w:t>
            </w:r>
          </w:p>
          <w:p>
            <w:pPr>
              <w:pStyle w:val="198"/>
              <w:spacing w:before="0" w:after="0"/>
              <w:rPr>
                <w:rFonts w:ascii="宋体" w:eastAsia="Times New Roman"/>
                <w:color w:val="auto"/>
                <w:highlight w:val="none"/>
              </w:rPr>
            </w:pPr>
            <w:r>
              <w:rPr>
                <w:rFonts w:ascii="宋体" w:hAnsi="宋体"/>
                <w:color w:val="auto"/>
                <w:highlight w:val="none"/>
              </w:rPr>
              <w:t>4.客户端能够处理带有不同触发条件的报告；</w:t>
            </w:r>
          </w:p>
          <w:p>
            <w:pPr>
              <w:pStyle w:val="198"/>
              <w:spacing w:before="0" w:after="0"/>
              <w:rPr>
                <w:rFonts w:ascii="宋体" w:eastAsia="Times New Roman"/>
                <w:color w:val="auto"/>
                <w:highlight w:val="none"/>
              </w:rPr>
            </w:pPr>
            <w:r>
              <w:rPr>
                <w:rFonts w:ascii="宋体" w:hAnsi="宋体"/>
                <w:color w:val="auto"/>
                <w:highlight w:val="none"/>
              </w:rPr>
              <w:t>5.客户端能够处理分段报告</w:t>
            </w:r>
            <w:r>
              <w:rPr>
                <w:rFonts w:hint="eastAsia" w:ascii="宋体" w:hAnsi="宋体"/>
                <w:color w:val="auto"/>
                <w:highlight w:val="none"/>
              </w:rPr>
              <w:t>；</w:t>
            </w:r>
          </w:p>
          <w:p>
            <w:pPr>
              <w:pStyle w:val="198"/>
              <w:spacing w:before="0" w:after="0"/>
              <w:rPr>
                <w:rFonts w:ascii="宋体" w:hAnsi="宋体"/>
                <w:color w:val="auto"/>
                <w:highlight w:val="none"/>
              </w:rPr>
            </w:pPr>
            <w:r>
              <w:rPr>
                <w:rFonts w:ascii="宋体" w:hAnsi="宋体"/>
                <w:color w:val="auto"/>
                <w:highlight w:val="none"/>
              </w:rPr>
              <w:t>6．客户端能够改变（预）配置的Buffer Time (IEC 61850-7-2 ，14.2.2.9)</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7.客户端能够触发总召唤</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8.启动后客户端能按照SCD文件配置和使能BRCB。客户端可以按照SCL修改BRCB中的“dyn”域</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9.客户端能够处理复杂结构型数据（如WYE和DEL数据对象）的报告</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10.客户端能够处理基本类型数据的报告（如stVal和quality）</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11.客户端能够处理关联丢失后缓冲的报告</w:t>
            </w:r>
            <w:r>
              <w:rPr>
                <w:rFonts w:hint="eastAsia" w:ascii="宋体" w:hAnsi="宋体"/>
                <w:color w:val="auto"/>
                <w:highlight w:val="none"/>
              </w:rPr>
              <w:t>；</w:t>
            </w:r>
          </w:p>
          <w:p>
            <w:pPr>
              <w:pStyle w:val="198"/>
              <w:spacing w:before="0" w:after="0"/>
              <w:rPr>
                <w:rFonts w:ascii="宋体" w:eastAsia="Times New Roman"/>
                <w:color w:val="auto"/>
                <w:highlight w:val="none"/>
              </w:rPr>
            </w:pPr>
            <w:r>
              <w:rPr>
                <w:rFonts w:ascii="宋体" w:hAnsi="宋体"/>
                <w:color w:val="auto"/>
                <w:highlight w:val="none"/>
              </w:rPr>
              <w:t>12.客户端能够在恢复和丢失关联后能够通过设定EntryId请求缓冲的报告</w:t>
            </w:r>
          </w:p>
          <w:p>
            <w:pPr>
              <w:pStyle w:val="198"/>
              <w:spacing w:before="0" w:after="0"/>
              <w:rPr>
                <w:rFonts w:ascii="宋体" w:eastAsia="Times New Roman"/>
                <w:color w:val="auto"/>
                <w:highlight w:val="none"/>
              </w:rPr>
            </w:pPr>
            <w:r>
              <w:rPr>
                <w:rFonts w:ascii="宋体" w:hAnsi="宋体"/>
                <w:color w:val="auto"/>
                <w:highlight w:val="none"/>
              </w:rPr>
              <w:t>13.客户端能够清除缓冲区报告</w:t>
            </w:r>
          </w:p>
          <w:p>
            <w:pPr>
              <w:pStyle w:val="198"/>
              <w:spacing w:before="0" w:after="0"/>
              <w:rPr>
                <w:rFonts w:ascii="宋体" w:eastAsia="Times New Roman"/>
                <w:color w:val="auto"/>
                <w:highlight w:val="none"/>
              </w:rPr>
            </w:pPr>
            <w:r>
              <w:rPr>
                <w:rFonts w:ascii="宋体" w:hAnsi="宋体"/>
                <w:color w:val="auto"/>
                <w:highlight w:val="none"/>
              </w:rPr>
              <w:t>14.客户端支持自描述，触发客户端启动自描述过程，检查客户端在发送GetLogicalNodeDirectory (BRCB)收到否定响应后，仍然能够与其它服务器通信</w:t>
            </w:r>
          </w:p>
          <w:p>
            <w:pPr>
              <w:pStyle w:val="198"/>
              <w:spacing w:before="0" w:after="0"/>
              <w:rPr>
                <w:rFonts w:ascii="宋体" w:eastAsia="Times New Roman"/>
                <w:color w:val="auto"/>
                <w:highlight w:val="none"/>
              </w:rPr>
            </w:pPr>
            <w:r>
              <w:rPr>
                <w:rFonts w:ascii="宋体" w:hAnsi="宋体"/>
                <w:color w:val="auto"/>
                <w:highlight w:val="none"/>
              </w:rPr>
              <w:t>15.客户端发送GetBRCBValues收到否定响应后，仍然正常工作</w:t>
            </w:r>
          </w:p>
          <w:p>
            <w:pPr>
              <w:pStyle w:val="198"/>
              <w:spacing w:before="0" w:after="0"/>
              <w:rPr>
                <w:rFonts w:ascii="宋体" w:eastAsia="Times New Roman"/>
                <w:color w:val="auto"/>
                <w:highlight w:val="none"/>
              </w:rPr>
            </w:pPr>
            <w:r>
              <w:rPr>
                <w:rFonts w:ascii="宋体" w:hAnsi="宋体"/>
                <w:color w:val="auto"/>
                <w:highlight w:val="none"/>
              </w:rPr>
              <w:t>16.客户端发送SetBRCBValues收到否定响应后，仍然正常工作</w:t>
            </w:r>
          </w:p>
          <w:p>
            <w:pPr>
              <w:pStyle w:val="198"/>
              <w:spacing w:before="0" w:after="0"/>
              <w:rPr>
                <w:rFonts w:ascii="宋体" w:eastAsia="Times New Roman"/>
                <w:color w:val="auto"/>
                <w:highlight w:val="none"/>
              </w:rPr>
            </w:pPr>
            <w:r>
              <w:rPr>
                <w:rFonts w:ascii="宋体" w:hAnsi="宋体"/>
                <w:color w:val="auto"/>
                <w:highlight w:val="none"/>
              </w:rPr>
              <w:t>17.当BRCB已经被其它客户端</w:t>
            </w:r>
            <w:r>
              <w:rPr>
                <w:rFonts w:hint="eastAsia" w:ascii="宋体" w:hAnsi="宋体"/>
                <w:color w:val="auto"/>
                <w:highlight w:val="none"/>
              </w:rPr>
              <w:t>占</w:t>
            </w:r>
            <w:r>
              <w:rPr>
                <w:rFonts w:ascii="宋体" w:hAnsi="宋体"/>
                <w:color w:val="auto"/>
                <w:highlight w:val="none"/>
              </w:rPr>
              <w:t>用时，客户端发送SetBRCBValues请求后仍然能正常工作（PIXIT）</w:t>
            </w:r>
          </w:p>
          <w:p>
            <w:pPr>
              <w:pStyle w:val="198"/>
              <w:spacing w:before="0" w:after="0"/>
              <w:rPr>
                <w:rFonts w:ascii="宋体" w:eastAsia="Times New Roman"/>
                <w:color w:val="auto"/>
                <w:highlight w:val="none"/>
              </w:rPr>
            </w:pPr>
            <w:r>
              <w:rPr>
                <w:rFonts w:ascii="宋体" w:hAnsi="宋体"/>
                <w:color w:val="auto"/>
                <w:highlight w:val="none"/>
              </w:rPr>
              <w:t>18.用不支持的可选域上送报告，检查客户端当收到未配置或不支持的可选域时，程序不会崩溃</w:t>
            </w:r>
          </w:p>
          <w:p>
            <w:pPr>
              <w:pStyle w:val="198"/>
              <w:spacing w:before="0" w:after="0"/>
              <w:rPr>
                <w:rFonts w:ascii="宋体" w:eastAsia="Times New Roman"/>
                <w:color w:val="auto"/>
                <w:highlight w:val="none"/>
              </w:rPr>
            </w:pPr>
            <w:r>
              <w:rPr>
                <w:rFonts w:ascii="宋体" w:hAnsi="宋体"/>
                <w:color w:val="auto"/>
                <w:highlight w:val="none"/>
              </w:rPr>
              <w:t>19.用不支持的触发选项上送报告，检查客户端当收到未配置或不支持的触发选项时，程序不会崩溃；</w:t>
            </w:r>
          </w:p>
          <w:p>
            <w:pPr>
              <w:pStyle w:val="198"/>
              <w:spacing w:before="0" w:after="0"/>
              <w:rPr>
                <w:rFonts w:ascii="宋体" w:hAnsi="宋体"/>
                <w:color w:val="auto"/>
                <w:highlight w:val="none"/>
              </w:rPr>
            </w:pPr>
            <w:r>
              <w:rPr>
                <w:rFonts w:hint="eastAsia" w:ascii="宋体" w:hAnsi="宋体"/>
                <w:color w:val="auto"/>
                <w:highlight w:val="none"/>
              </w:rPr>
              <w:t>20.客户端</w:t>
            </w:r>
            <w:r>
              <w:rPr>
                <w:rFonts w:ascii="宋体" w:hAnsi="宋体"/>
                <w:color w:val="auto"/>
                <w:highlight w:val="none"/>
              </w:rPr>
              <w:t>按照</w:t>
            </w:r>
            <w:r>
              <w:rPr>
                <w:rFonts w:hint="eastAsia" w:ascii="宋体" w:hAnsi="宋体"/>
                <w:color w:val="auto"/>
                <w:highlight w:val="none"/>
              </w:rPr>
              <w:t>PIXIT规定</w:t>
            </w:r>
            <w:r>
              <w:rPr>
                <w:rFonts w:ascii="宋体" w:hAnsi="宋体"/>
                <w:color w:val="auto"/>
                <w:highlight w:val="none"/>
              </w:rPr>
              <w:t>方式处理不匹配报告；</w:t>
            </w:r>
          </w:p>
          <w:p>
            <w:pPr>
              <w:pStyle w:val="198"/>
              <w:spacing w:before="0" w:after="0"/>
              <w:rPr>
                <w:rFonts w:ascii="宋体" w:eastAsia="Times New Roman"/>
                <w:color w:val="auto"/>
                <w:highlight w:val="none"/>
              </w:rPr>
            </w:pPr>
            <w:r>
              <w:rPr>
                <w:rFonts w:ascii="宋体" w:hAnsi="宋体"/>
                <w:color w:val="auto"/>
                <w:highlight w:val="none"/>
              </w:rPr>
              <w:t>21.客户端能检测报告控制块ConfRev属性的变化（配置版本，IEC 61850-7-2, 14.2.2.7）。当客户端不检查ConfRev时，应检查数据集元素。相关检测方法应在PIXIT中说明</w:t>
            </w:r>
          </w:p>
          <w:p>
            <w:pPr>
              <w:pStyle w:val="198"/>
              <w:spacing w:before="0" w:after="0"/>
              <w:rPr>
                <w:rFonts w:ascii="宋体" w:eastAsia="Times New Roman"/>
                <w:color w:val="auto"/>
                <w:highlight w:val="none"/>
              </w:rPr>
            </w:pPr>
            <w:r>
              <w:rPr>
                <w:rFonts w:ascii="宋体" w:hAnsi="宋体"/>
                <w:color w:val="auto"/>
                <w:highlight w:val="none"/>
              </w:rPr>
              <w:t>22.客户端能够处理缓冲区溢出后的SetBRCBValues(EntryID)否定响应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827"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1．如果客户端支持自描述，触发启动自描述过程，检查其向配置服务器的逻辑节点发送GetLogicalNodeDirectory(BRCB)请求；</w:t>
            </w:r>
          </w:p>
          <w:p>
            <w:pPr>
              <w:pStyle w:val="198"/>
              <w:spacing w:before="0" w:after="0"/>
              <w:rPr>
                <w:rFonts w:ascii="宋体" w:eastAsia="Times New Roman"/>
                <w:color w:val="auto"/>
                <w:highlight w:val="none"/>
              </w:rPr>
            </w:pPr>
            <w:r>
              <w:rPr>
                <w:rFonts w:ascii="宋体" w:hAnsi="宋体"/>
                <w:color w:val="auto"/>
                <w:highlight w:val="none"/>
              </w:rPr>
              <w:t>2.如果客户端在启动后使用SetBRCBValues修改服务器缓冲报告控制块的参数，检查GetBRCBValues/SetBRCBValues请求发送时带有配置值；</w:t>
            </w:r>
          </w:p>
          <w:p>
            <w:pPr>
              <w:pStyle w:val="198"/>
              <w:spacing w:before="0" w:after="0"/>
              <w:rPr>
                <w:rFonts w:ascii="宋体" w:eastAsia="Times New Roman"/>
                <w:color w:val="auto"/>
                <w:highlight w:val="none"/>
              </w:rPr>
            </w:pPr>
            <w:r>
              <w:rPr>
                <w:rFonts w:ascii="宋体" w:hAnsi="宋体"/>
                <w:color w:val="auto"/>
                <w:highlight w:val="none"/>
              </w:rPr>
              <w:t>3.检查客户端能够处理带有不同可选域的报告：</w:t>
            </w:r>
          </w:p>
          <w:p>
            <w:pPr>
              <w:pStyle w:val="198"/>
              <w:spacing w:before="0" w:after="0"/>
              <w:rPr>
                <w:rFonts w:ascii="宋体" w:eastAsia="Times New Roman"/>
                <w:color w:val="auto"/>
                <w:highlight w:val="none"/>
              </w:rPr>
            </w:pPr>
            <w:r>
              <w:rPr>
                <w:rFonts w:ascii="宋体" w:hAnsi="宋体"/>
                <w:color w:val="auto"/>
                <w:highlight w:val="none"/>
              </w:rPr>
              <w:t>配置客户端配置/使能BRCB使用以下可选域的组合：sequence-number, report-time-stamp, reason-for-inclusion, data-set-name, data-reference, 与/或 entryID (IEC 61850-7-2, 14.2.3.2.2.1)，检查客户端能够处理报告，更新数据库；</w:t>
            </w:r>
          </w:p>
          <w:p>
            <w:pPr>
              <w:pStyle w:val="198"/>
              <w:spacing w:before="0" w:after="0"/>
              <w:rPr>
                <w:rFonts w:ascii="宋体" w:eastAsia="Times New Roman"/>
                <w:color w:val="auto"/>
                <w:highlight w:val="none"/>
              </w:rPr>
            </w:pPr>
            <w:r>
              <w:rPr>
                <w:rFonts w:ascii="宋体" w:hAnsi="宋体"/>
                <w:color w:val="auto"/>
                <w:highlight w:val="none"/>
              </w:rPr>
              <w:t>4.检查客户端能够处理带有不同触发条件的报告：</w:t>
            </w:r>
          </w:p>
          <w:p>
            <w:pPr>
              <w:pStyle w:val="198"/>
              <w:spacing w:before="0" w:after="0"/>
              <w:rPr>
                <w:rFonts w:ascii="宋体" w:eastAsia="Times New Roman"/>
                <w:color w:val="auto"/>
                <w:highlight w:val="none"/>
              </w:rPr>
            </w:pPr>
            <w:r>
              <w:rPr>
                <w:rFonts w:ascii="宋体" w:hAnsi="宋体"/>
                <w:color w:val="auto"/>
                <w:highlight w:val="none"/>
              </w:rPr>
              <w:t>配置客户端配置/使能BRCB使用所有支持的可选域，并检查报告按照以下（支持的）触发条件传送：</w:t>
            </w:r>
          </w:p>
          <w:p>
            <w:pPr>
              <w:pStyle w:val="198"/>
              <w:spacing w:before="0" w:after="0"/>
              <w:rPr>
                <w:rFonts w:ascii="宋体" w:eastAsia="Times New Roman"/>
                <w:color w:val="auto"/>
                <w:highlight w:val="none"/>
              </w:rPr>
            </w:pPr>
            <w:r>
              <w:rPr>
                <w:rFonts w:ascii="宋体" w:hAnsi="宋体"/>
                <w:color w:val="auto"/>
                <w:highlight w:val="none"/>
              </w:rPr>
              <w:t>a) 完整性周期</w:t>
            </w:r>
          </w:p>
          <w:p>
            <w:pPr>
              <w:pStyle w:val="198"/>
              <w:spacing w:before="0" w:after="0"/>
              <w:rPr>
                <w:rFonts w:ascii="宋体" w:eastAsia="Times New Roman"/>
                <w:color w:val="auto"/>
                <w:highlight w:val="none"/>
              </w:rPr>
            </w:pPr>
            <w:r>
              <w:rPr>
                <w:rFonts w:ascii="宋体" w:hAnsi="宋体"/>
                <w:color w:val="auto"/>
                <w:highlight w:val="none"/>
              </w:rPr>
              <w:t>b) 数据更新</w:t>
            </w:r>
          </w:p>
          <w:p>
            <w:pPr>
              <w:pStyle w:val="198"/>
              <w:spacing w:before="0" w:after="0"/>
              <w:rPr>
                <w:rFonts w:ascii="宋体" w:eastAsia="Times New Roman"/>
                <w:color w:val="auto"/>
                <w:highlight w:val="none"/>
              </w:rPr>
            </w:pPr>
            <w:r>
              <w:rPr>
                <w:rFonts w:ascii="宋体" w:hAnsi="宋体"/>
                <w:color w:val="auto"/>
                <w:highlight w:val="none"/>
              </w:rPr>
              <w:t>c) 完整性周期加数据更新</w:t>
            </w:r>
          </w:p>
          <w:p>
            <w:pPr>
              <w:pStyle w:val="198"/>
              <w:spacing w:before="0" w:after="0"/>
              <w:rPr>
                <w:rFonts w:ascii="宋体" w:eastAsia="Times New Roman"/>
                <w:color w:val="auto"/>
                <w:highlight w:val="none"/>
              </w:rPr>
            </w:pPr>
            <w:r>
              <w:rPr>
                <w:rFonts w:ascii="宋体" w:hAnsi="宋体"/>
                <w:color w:val="auto"/>
                <w:highlight w:val="none"/>
              </w:rPr>
              <w:t>d) 数据变化</w:t>
            </w:r>
          </w:p>
          <w:p>
            <w:pPr>
              <w:pStyle w:val="198"/>
              <w:spacing w:before="0" w:after="0"/>
              <w:rPr>
                <w:rFonts w:ascii="宋体" w:eastAsia="Times New Roman"/>
                <w:color w:val="auto"/>
                <w:highlight w:val="none"/>
              </w:rPr>
            </w:pPr>
            <w:r>
              <w:rPr>
                <w:rFonts w:ascii="宋体" w:hAnsi="宋体"/>
                <w:color w:val="auto"/>
                <w:highlight w:val="none"/>
              </w:rPr>
              <w:t>e) 数据变化和品质变化</w:t>
            </w:r>
          </w:p>
          <w:p>
            <w:pPr>
              <w:pStyle w:val="198"/>
              <w:spacing w:before="0" w:after="0"/>
              <w:rPr>
                <w:rFonts w:ascii="宋体" w:eastAsia="Times New Roman"/>
                <w:color w:val="auto"/>
                <w:highlight w:val="none"/>
              </w:rPr>
            </w:pPr>
            <w:r>
              <w:rPr>
                <w:rFonts w:ascii="宋体" w:hAnsi="宋体"/>
                <w:color w:val="auto"/>
                <w:highlight w:val="none"/>
              </w:rPr>
              <w:t>f) 完整性周期加数据变化和品质变化</w:t>
            </w:r>
          </w:p>
          <w:p>
            <w:pPr>
              <w:pStyle w:val="198"/>
              <w:spacing w:before="0" w:after="0"/>
              <w:rPr>
                <w:rFonts w:ascii="宋体" w:eastAsia="Times New Roman"/>
                <w:color w:val="auto"/>
                <w:highlight w:val="none"/>
              </w:rPr>
            </w:pPr>
            <w:r>
              <w:rPr>
                <w:rFonts w:ascii="宋体" w:hAnsi="宋体"/>
                <w:color w:val="auto"/>
                <w:highlight w:val="none"/>
              </w:rPr>
              <w:t>5.检查客户端能够处理分段报告</w:t>
            </w:r>
          </w:p>
          <w:p>
            <w:pPr>
              <w:pStyle w:val="198"/>
              <w:spacing w:before="0" w:after="0"/>
              <w:rPr>
                <w:rFonts w:ascii="宋体" w:hAnsi="宋体"/>
                <w:color w:val="auto"/>
                <w:highlight w:val="none"/>
              </w:rPr>
            </w:pPr>
            <w:r>
              <w:rPr>
                <w:rFonts w:ascii="宋体" w:hAnsi="宋体"/>
                <w:color w:val="auto"/>
                <w:highlight w:val="none"/>
              </w:rPr>
              <w:t>6．检查客户端能够改变（预）配置的Buffer Time (IEC 61850-7-2 ，14.2.2.9)</w:t>
            </w:r>
          </w:p>
          <w:p>
            <w:pPr>
              <w:pStyle w:val="198"/>
              <w:spacing w:before="0" w:after="0"/>
              <w:rPr>
                <w:rFonts w:ascii="宋体" w:eastAsia="Times New Roman"/>
                <w:color w:val="auto"/>
                <w:highlight w:val="none"/>
              </w:rPr>
            </w:pPr>
            <w:r>
              <w:rPr>
                <w:rFonts w:ascii="宋体" w:hAnsi="宋体"/>
                <w:color w:val="auto"/>
                <w:highlight w:val="none"/>
              </w:rPr>
              <w:t>7.检查客户端能够触发总召唤</w:t>
            </w:r>
          </w:p>
          <w:p>
            <w:pPr>
              <w:pStyle w:val="198"/>
              <w:spacing w:before="0" w:after="0"/>
              <w:rPr>
                <w:rFonts w:ascii="宋体" w:eastAsia="Times New Roman"/>
                <w:color w:val="auto"/>
                <w:highlight w:val="none"/>
              </w:rPr>
            </w:pPr>
            <w:r>
              <w:rPr>
                <w:rFonts w:ascii="宋体" w:hAnsi="宋体"/>
                <w:color w:val="auto"/>
                <w:highlight w:val="none"/>
              </w:rPr>
              <w:t>8.检查启动后客户端能按照SCD文件配置和使能BRCB。客户端可以按照SCL修改BRCB中的“dyn”域</w:t>
            </w:r>
          </w:p>
          <w:p>
            <w:pPr>
              <w:pStyle w:val="198"/>
              <w:spacing w:before="0" w:after="0"/>
              <w:rPr>
                <w:rFonts w:ascii="宋体" w:eastAsia="Times New Roman"/>
                <w:color w:val="auto"/>
                <w:highlight w:val="none"/>
              </w:rPr>
            </w:pPr>
            <w:r>
              <w:rPr>
                <w:rFonts w:ascii="宋体" w:hAnsi="宋体"/>
                <w:color w:val="auto"/>
                <w:highlight w:val="none"/>
              </w:rPr>
              <w:t>9.检查客户端能够处理复杂结构型数据（如WYE和DEL数据对象）的报告</w:t>
            </w:r>
          </w:p>
          <w:p>
            <w:pPr>
              <w:pStyle w:val="198"/>
              <w:spacing w:before="0" w:after="0"/>
              <w:rPr>
                <w:rFonts w:ascii="宋体" w:eastAsia="Times New Roman"/>
                <w:color w:val="auto"/>
                <w:highlight w:val="none"/>
              </w:rPr>
            </w:pPr>
            <w:r>
              <w:rPr>
                <w:rFonts w:ascii="宋体" w:hAnsi="宋体"/>
                <w:color w:val="auto"/>
                <w:highlight w:val="none"/>
              </w:rPr>
              <w:t>10.检查客户端能够处理基本类型数据的报告（如stVal和quality）</w:t>
            </w:r>
          </w:p>
          <w:p>
            <w:pPr>
              <w:pStyle w:val="198"/>
              <w:spacing w:before="0" w:after="0"/>
              <w:rPr>
                <w:rFonts w:ascii="宋体" w:eastAsia="Times New Roman"/>
                <w:color w:val="auto"/>
                <w:highlight w:val="none"/>
              </w:rPr>
            </w:pPr>
            <w:r>
              <w:rPr>
                <w:rFonts w:ascii="宋体" w:hAnsi="宋体"/>
                <w:color w:val="auto"/>
                <w:highlight w:val="none"/>
              </w:rPr>
              <w:t>11.检查客户端能够处理关联丢失后缓冲的报告</w:t>
            </w:r>
          </w:p>
          <w:p>
            <w:pPr>
              <w:pStyle w:val="198"/>
              <w:spacing w:before="0" w:after="0"/>
              <w:rPr>
                <w:rFonts w:ascii="宋体" w:hAnsi="宋体"/>
                <w:color w:val="auto"/>
                <w:highlight w:val="none"/>
              </w:rPr>
            </w:pPr>
            <w:r>
              <w:rPr>
                <w:rFonts w:ascii="宋体" w:hAnsi="宋体"/>
                <w:color w:val="auto"/>
                <w:highlight w:val="none"/>
              </w:rPr>
              <w:t>a) 缓冲区未溢出 (PIXIT)</w:t>
            </w:r>
          </w:p>
          <w:p>
            <w:pPr>
              <w:pStyle w:val="198"/>
              <w:spacing w:before="0" w:after="0"/>
              <w:rPr>
                <w:rFonts w:ascii="宋体" w:eastAsia="Times New Roman"/>
                <w:color w:val="auto"/>
                <w:highlight w:val="none"/>
              </w:rPr>
            </w:pPr>
            <w:r>
              <w:rPr>
                <w:rFonts w:ascii="宋体" w:hAnsi="宋体"/>
                <w:color w:val="auto"/>
                <w:highlight w:val="none"/>
              </w:rPr>
              <w:t>b) 缓冲区溢出</w:t>
            </w:r>
          </w:p>
          <w:p>
            <w:pPr>
              <w:pStyle w:val="198"/>
              <w:spacing w:before="0" w:after="0"/>
              <w:rPr>
                <w:rFonts w:ascii="宋体" w:eastAsia="Times New Roman"/>
                <w:color w:val="auto"/>
                <w:highlight w:val="none"/>
              </w:rPr>
            </w:pPr>
            <w:r>
              <w:rPr>
                <w:rFonts w:ascii="宋体" w:hAnsi="宋体"/>
                <w:color w:val="auto"/>
                <w:highlight w:val="none"/>
              </w:rPr>
              <w:t>12.检查客户端能够在恢复和丢失关联后能够通过设定EntryId请求缓冲的报告</w:t>
            </w:r>
          </w:p>
          <w:p>
            <w:pPr>
              <w:pStyle w:val="198"/>
              <w:spacing w:before="0" w:after="0"/>
              <w:rPr>
                <w:rFonts w:ascii="宋体" w:eastAsia="Times New Roman"/>
                <w:color w:val="auto"/>
                <w:highlight w:val="none"/>
              </w:rPr>
            </w:pPr>
            <w:r>
              <w:rPr>
                <w:rFonts w:ascii="宋体" w:hAnsi="宋体"/>
                <w:color w:val="auto"/>
                <w:highlight w:val="none"/>
              </w:rPr>
              <w:t>13.检查客户端能够清除缓冲区报告</w:t>
            </w:r>
          </w:p>
          <w:p>
            <w:pPr>
              <w:pStyle w:val="198"/>
              <w:spacing w:before="0" w:after="0"/>
              <w:rPr>
                <w:rFonts w:ascii="宋体" w:eastAsia="Times New Roman"/>
                <w:color w:val="auto"/>
                <w:highlight w:val="none"/>
              </w:rPr>
            </w:pPr>
            <w:r>
              <w:rPr>
                <w:rFonts w:ascii="宋体" w:hAnsi="宋体"/>
                <w:color w:val="auto"/>
                <w:highlight w:val="none"/>
              </w:rPr>
              <w:t>14.如果客户端支持自描述，触发客户端启动自描述过程，检查客户端在发送GetLogicalNodeDirectory (BRCB)收到否定响应后，仍然能够与其它服务器通信</w:t>
            </w:r>
          </w:p>
          <w:p>
            <w:pPr>
              <w:pStyle w:val="198"/>
              <w:spacing w:before="0" w:after="0"/>
              <w:rPr>
                <w:rFonts w:ascii="宋体" w:eastAsia="Times New Roman"/>
                <w:color w:val="auto"/>
                <w:highlight w:val="none"/>
              </w:rPr>
            </w:pPr>
            <w:r>
              <w:rPr>
                <w:rFonts w:ascii="宋体" w:hAnsi="宋体"/>
                <w:color w:val="auto"/>
                <w:highlight w:val="none"/>
              </w:rPr>
              <w:t>15.检查客户端发送GetBRCBValues收到否定响应后，仍然正常工作</w:t>
            </w:r>
          </w:p>
          <w:p>
            <w:pPr>
              <w:pStyle w:val="198"/>
              <w:spacing w:before="0" w:after="0"/>
              <w:rPr>
                <w:rFonts w:ascii="宋体" w:eastAsia="Times New Roman"/>
                <w:color w:val="auto"/>
                <w:highlight w:val="none"/>
              </w:rPr>
            </w:pPr>
            <w:r>
              <w:rPr>
                <w:rFonts w:ascii="宋体" w:hAnsi="宋体"/>
                <w:color w:val="auto"/>
                <w:highlight w:val="none"/>
              </w:rPr>
              <w:t>16.检查客户端发送SetBRCBValues收到否定响应后，仍然正常工作</w:t>
            </w:r>
          </w:p>
          <w:p>
            <w:pPr>
              <w:pStyle w:val="198"/>
              <w:spacing w:before="0" w:after="0"/>
              <w:rPr>
                <w:rFonts w:ascii="宋体" w:eastAsia="Times New Roman"/>
                <w:color w:val="auto"/>
                <w:highlight w:val="none"/>
              </w:rPr>
            </w:pPr>
            <w:r>
              <w:rPr>
                <w:rFonts w:ascii="宋体" w:hAnsi="宋体"/>
                <w:color w:val="auto"/>
                <w:highlight w:val="none"/>
              </w:rPr>
              <w:t>17.检查当BRCB已经被其它客户端</w:t>
            </w:r>
            <w:r>
              <w:rPr>
                <w:rFonts w:hint="eastAsia" w:ascii="宋体" w:hAnsi="宋体"/>
                <w:color w:val="auto"/>
                <w:highlight w:val="none"/>
              </w:rPr>
              <w:t>占</w:t>
            </w:r>
            <w:r>
              <w:rPr>
                <w:rFonts w:ascii="宋体" w:hAnsi="宋体"/>
                <w:color w:val="auto"/>
                <w:highlight w:val="none"/>
              </w:rPr>
              <w:t>用时，客户端发送SetBRCBValues请求后仍然能正常工作（PIXIT）</w:t>
            </w:r>
          </w:p>
          <w:p>
            <w:pPr>
              <w:pStyle w:val="198"/>
              <w:spacing w:before="0" w:after="0"/>
              <w:rPr>
                <w:rFonts w:ascii="宋体" w:eastAsia="Times New Roman"/>
                <w:color w:val="auto"/>
                <w:highlight w:val="none"/>
              </w:rPr>
            </w:pPr>
            <w:r>
              <w:rPr>
                <w:rFonts w:ascii="宋体" w:hAnsi="宋体"/>
                <w:color w:val="auto"/>
                <w:highlight w:val="none"/>
              </w:rPr>
              <w:t>18.用不支持的可选域上送报告，检查客户端当收到未配置或不支持的可选域时，程序不会崩溃</w:t>
            </w:r>
          </w:p>
          <w:p>
            <w:pPr>
              <w:pStyle w:val="198"/>
              <w:spacing w:before="0" w:after="0"/>
              <w:rPr>
                <w:rFonts w:ascii="宋体" w:eastAsia="Times New Roman"/>
                <w:color w:val="auto"/>
                <w:highlight w:val="none"/>
              </w:rPr>
            </w:pPr>
            <w:r>
              <w:rPr>
                <w:rFonts w:ascii="宋体" w:hAnsi="宋体"/>
                <w:color w:val="auto"/>
                <w:highlight w:val="none"/>
              </w:rPr>
              <w:t>19.用不支持的触发选项上送报告，检查客户端当收到未配置或不支持的触发选项时，程序不会崩溃</w:t>
            </w:r>
          </w:p>
          <w:p>
            <w:pPr>
              <w:pStyle w:val="198"/>
              <w:spacing w:before="0" w:after="0"/>
              <w:rPr>
                <w:rFonts w:ascii="宋体" w:eastAsia="Times New Roman"/>
                <w:color w:val="auto"/>
                <w:highlight w:val="none"/>
              </w:rPr>
            </w:pPr>
            <w:r>
              <w:rPr>
                <w:rFonts w:ascii="宋体" w:hAnsi="宋体"/>
                <w:color w:val="auto"/>
                <w:highlight w:val="none"/>
              </w:rPr>
              <w:t>20.检查按照PIXIT规定的方式处理不匹配的报告：</w:t>
            </w:r>
          </w:p>
          <w:p>
            <w:pPr>
              <w:pStyle w:val="198"/>
              <w:spacing w:before="0" w:after="0"/>
              <w:rPr>
                <w:rFonts w:ascii="宋体" w:eastAsia="Times New Roman"/>
                <w:color w:val="auto"/>
                <w:highlight w:val="none"/>
              </w:rPr>
            </w:pPr>
            <w:r>
              <w:rPr>
                <w:rFonts w:ascii="宋体" w:hAnsi="宋体"/>
                <w:color w:val="auto"/>
                <w:highlight w:val="none"/>
              </w:rPr>
              <w:t>a) 用未知数据集上送的报告</w:t>
            </w:r>
          </w:p>
          <w:p>
            <w:pPr>
              <w:pStyle w:val="198"/>
              <w:spacing w:before="0" w:after="0"/>
              <w:rPr>
                <w:rFonts w:ascii="宋体" w:eastAsia="Times New Roman"/>
                <w:color w:val="auto"/>
                <w:highlight w:val="none"/>
              </w:rPr>
            </w:pPr>
            <w:r>
              <w:rPr>
                <w:rFonts w:ascii="宋体" w:hAnsi="宋体"/>
                <w:color w:val="auto"/>
                <w:highlight w:val="none"/>
              </w:rPr>
              <w:t>b) 用未知RptID上送的报告</w:t>
            </w:r>
          </w:p>
          <w:p>
            <w:pPr>
              <w:pStyle w:val="198"/>
              <w:spacing w:before="0" w:after="0"/>
              <w:rPr>
                <w:rFonts w:ascii="宋体" w:eastAsia="Times New Roman"/>
                <w:color w:val="auto"/>
                <w:highlight w:val="none"/>
              </w:rPr>
            </w:pPr>
            <w:r>
              <w:rPr>
                <w:rFonts w:ascii="宋体" w:hAnsi="宋体"/>
                <w:color w:val="auto"/>
                <w:highlight w:val="none"/>
              </w:rPr>
              <w:t>c) 用错误数据引用上送的报告</w:t>
            </w:r>
          </w:p>
          <w:p>
            <w:pPr>
              <w:pStyle w:val="198"/>
              <w:spacing w:before="0" w:after="0"/>
              <w:rPr>
                <w:rFonts w:ascii="宋体" w:eastAsia="Times New Roman"/>
                <w:color w:val="auto"/>
                <w:highlight w:val="none"/>
              </w:rPr>
            </w:pPr>
            <w:r>
              <w:rPr>
                <w:rFonts w:ascii="宋体" w:hAnsi="宋体"/>
                <w:color w:val="auto"/>
                <w:highlight w:val="none"/>
              </w:rPr>
              <w:t>d) 用错误数据类型上送的报告</w:t>
            </w:r>
          </w:p>
          <w:p>
            <w:pPr>
              <w:pStyle w:val="198"/>
              <w:spacing w:before="0" w:after="0"/>
              <w:rPr>
                <w:rFonts w:ascii="宋体" w:eastAsia="Times New Roman"/>
                <w:color w:val="auto"/>
                <w:highlight w:val="none"/>
              </w:rPr>
            </w:pPr>
            <w:r>
              <w:rPr>
                <w:rFonts w:ascii="宋体" w:hAnsi="宋体"/>
                <w:color w:val="auto"/>
                <w:highlight w:val="none"/>
              </w:rPr>
              <w:t>21.检查客户端能检测报告控制块ConfRev属性的变化（配置版本，IEC 61850-7-2, 14.2.2.7）。当客户端不检查ConfRev时，应检查数据集元素。相关检测方法应在PIXIT中说明</w:t>
            </w:r>
          </w:p>
          <w:p>
            <w:pPr>
              <w:pStyle w:val="198"/>
              <w:spacing w:before="0" w:after="0"/>
              <w:rPr>
                <w:rFonts w:ascii="宋体" w:eastAsia="Times New Roman"/>
                <w:color w:val="auto"/>
                <w:highlight w:val="none"/>
              </w:rPr>
            </w:pPr>
            <w:r>
              <w:rPr>
                <w:rFonts w:ascii="宋体" w:hAnsi="宋体"/>
                <w:color w:val="auto"/>
                <w:highlight w:val="none"/>
              </w:rPr>
              <w:t>22.检查客户端能够处理缓冲区溢出后的SetBRCBValues(EntryID)否定响应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01"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827"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客户端自描述功能为可选功能。</w:t>
            </w:r>
          </w:p>
        </w:tc>
      </w:tr>
    </w:tbl>
    <w:p>
      <w:pPr>
        <w:rPr>
          <w:rFonts w:ascii="仿宋_GB2312" w:eastAsia="仿宋_GB2312"/>
          <w:b/>
          <w:color w:val="auto"/>
          <w:highlight w:val="none"/>
        </w:rPr>
      </w:pPr>
    </w:p>
    <w:p>
      <w:pPr>
        <w:outlineLvl w:val="2"/>
        <w:rPr>
          <w:color w:val="auto"/>
          <w:highlight w:val="none"/>
        </w:rPr>
      </w:pPr>
      <w:bookmarkStart w:id="308" w:name="_Toc528273626"/>
      <w:bookmarkStart w:id="309" w:name="_Toc484019010"/>
      <w:r>
        <w:rPr>
          <w:color w:val="auto"/>
          <w:highlight w:val="none"/>
        </w:rPr>
        <w:t>A.11 日志</w:t>
      </w:r>
      <w:bookmarkEnd w:id="307"/>
      <w:bookmarkEnd w:id="308"/>
      <w:bookmarkEnd w:id="30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日志功能测试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被测客户端日志功能符合标准要求。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1.客户端支持自描述，触发其启动自描述过程，检查是否对所有配置服务器的逻辑节点发送GetLogicalNodeDirectory (LOG)请求；</w:t>
            </w:r>
          </w:p>
          <w:p>
            <w:pPr>
              <w:spacing w:before="40" w:after="40"/>
              <w:rPr>
                <w:rFonts w:ascii="宋体" w:eastAsia="Times New Roman"/>
                <w:color w:val="auto"/>
                <w:highlight w:val="none"/>
              </w:rPr>
            </w:pPr>
            <w:r>
              <w:rPr>
                <w:rFonts w:hint="eastAsia" w:ascii="宋体" w:hAnsi="宋体"/>
                <w:color w:val="auto"/>
                <w:highlight w:val="none"/>
              </w:rPr>
              <w:t>2.客户端支持自描述，触发其启动自描述过程，检查是否对所有配置服务器的逻辑节点发送GetLogicalNodeDirectory(LCB)请求；</w:t>
            </w:r>
          </w:p>
          <w:p>
            <w:pPr>
              <w:spacing w:before="40" w:after="40"/>
              <w:rPr>
                <w:rFonts w:ascii="宋体" w:eastAsia="Times New Roman"/>
                <w:color w:val="auto"/>
                <w:highlight w:val="none"/>
              </w:rPr>
            </w:pPr>
            <w:r>
              <w:rPr>
                <w:rFonts w:hint="eastAsia" w:ascii="宋体" w:hAnsi="宋体"/>
                <w:color w:val="auto"/>
                <w:highlight w:val="none"/>
              </w:rPr>
              <w:t>3.客户端支持自描述，触发其启动自描述过程，检查是否对GetLogicalNodeDirectory(LCB)发现的LOGs发送GeLogStatusValues请求；</w:t>
            </w:r>
          </w:p>
          <w:p>
            <w:pPr>
              <w:spacing w:before="40" w:after="40"/>
              <w:rPr>
                <w:rFonts w:ascii="宋体" w:eastAsia="Times New Roman"/>
                <w:color w:val="auto"/>
                <w:highlight w:val="none"/>
              </w:rPr>
            </w:pPr>
            <w:r>
              <w:rPr>
                <w:rFonts w:hint="eastAsia" w:ascii="宋体" w:hAnsi="宋体"/>
                <w:color w:val="auto"/>
                <w:highlight w:val="none"/>
              </w:rPr>
              <w:t>4.客户端支持自描述，触发其启动自描述过程，检查是否对GetLogicalNodeDirectory(LCB)发现的LCBs发送GeLCBValues请求；</w:t>
            </w:r>
          </w:p>
          <w:p>
            <w:pPr>
              <w:spacing w:before="40" w:after="40"/>
              <w:rPr>
                <w:rFonts w:ascii="宋体" w:eastAsia="Times New Roman"/>
                <w:color w:val="auto"/>
                <w:highlight w:val="none"/>
              </w:rPr>
            </w:pPr>
            <w:r>
              <w:rPr>
                <w:rFonts w:hint="eastAsia" w:ascii="宋体" w:hAnsi="宋体"/>
                <w:color w:val="auto"/>
                <w:highlight w:val="none"/>
              </w:rPr>
              <w:t>5.客户端在启动后使用SetLCBValues服务配置服务器的LogControlBlock参数，检查发送的SetLCBValues带有已配置值；</w:t>
            </w:r>
          </w:p>
          <w:p>
            <w:pPr>
              <w:spacing w:before="40" w:after="40"/>
              <w:rPr>
                <w:rFonts w:ascii="宋体" w:eastAsia="Times New Roman"/>
                <w:color w:val="auto"/>
                <w:highlight w:val="none"/>
              </w:rPr>
            </w:pPr>
            <w:r>
              <w:rPr>
                <w:rFonts w:hint="eastAsia" w:ascii="宋体" w:hAnsi="宋体"/>
                <w:color w:val="auto"/>
                <w:highlight w:val="none"/>
              </w:rPr>
              <w:t>6.触发客户端使能服务器的至少一个LOG，客户端能够正确的发送请求；</w:t>
            </w:r>
          </w:p>
          <w:p>
            <w:pPr>
              <w:spacing w:before="40" w:after="40"/>
              <w:rPr>
                <w:rFonts w:ascii="宋体" w:eastAsia="Times New Roman"/>
                <w:color w:val="auto"/>
                <w:highlight w:val="none"/>
              </w:rPr>
            </w:pPr>
            <w:r>
              <w:rPr>
                <w:rFonts w:hint="eastAsia" w:ascii="宋体" w:hAnsi="宋体"/>
                <w:color w:val="auto"/>
                <w:highlight w:val="none"/>
              </w:rPr>
              <w:t>7.触发客户端进行QueryLogByTime 或 QueryLogByEntry， 客户端能够用接收到的Log更新数据；</w:t>
            </w:r>
          </w:p>
          <w:p>
            <w:pPr>
              <w:spacing w:before="40" w:after="40"/>
              <w:rPr>
                <w:rFonts w:ascii="宋体" w:eastAsia="Times New Roman"/>
                <w:color w:val="auto"/>
                <w:highlight w:val="none"/>
              </w:rPr>
            </w:pPr>
            <w:r>
              <w:rPr>
                <w:rFonts w:hint="eastAsia" w:ascii="宋体" w:hAnsi="宋体"/>
                <w:color w:val="auto"/>
                <w:highlight w:val="none"/>
              </w:rPr>
              <w:t>8.客户端支持自描述，触发客户端启动自描述过程，客户端当请求GetLogicalNodeDirectory (LCB)和GetLogicalNodeDirectory (LOG)收到否定响应时，仍能够与其他服务器继续通信；</w:t>
            </w:r>
          </w:p>
          <w:p>
            <w:pPr>
              <w:spacing w:before="40" w:after="40"/>
              <w:rPr>
                <w:rFonts w:ascii="宋体" w:eastAsia="Times New Roman"/>
                <w:color w:val="auto"/>
                <w:highlight w:val="none"/>
              </w:rPr>
            </w:pPr>
            <w:r>
              <w:rPr>
                <w:rFonts w:hint="eastAsia" w:ascii="宋体" w:hAnsi="宋体"/>
                <w:color w:val="auto"/>
                <w:highlight w:val="none"/>
              </w:rPr>
              <w:t>9.客户端收到GetLCBValues/GetLogStatus的否定响应时，仍然能够正常工作；</w:t>
            </w:r>
          </w:p>
          <w:p>
            <w:pPr>
              <w:spacing w:before="40" w:after="40"/>
              <w:rPr>
                <w:rFonts w:ascii="宋体" w:eastAsia="Times New Roman"/>
                <w:color w:val="auto"/>
                <w:highlight w:val="none"/>
              </w:rPr>
            </w:pPr>
            <w:r>
              <w:rPr>
                <w:rFonts w:hint="eastAsia" w:ascii="宋体" w:hAnsi="宋体"/>
                <w:color w:val="auto"/>
                <w:highlight w:val="none"/>
              </w:rPr>
              <w:t>10．客户端收到SetLCBValues的否定响应时，仍然能够正常工作。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1.如果客户端支持自描述，触发其启动自描述过程，检查是否对所有配置服务器的逻辑节点发送GetLogicalNodeDirectory (LOG)请求；</w:t>
            </w:r>
          </w:p>
          <w:p>
            <w:pPr>
              <w:spacing w:before="40" w:after="40"/>
              <w:rPr>
                <w:rFonts w:ascii="宋体" w:eastAsia="Times New Roman"/>
                <w:color w:val="auto"/>
                <w:highlight w:val="none"/>
              </w:rPr>
            </w:pPr>
            <w:r>
              <w:rPr>
                <w:rFonts w:hint="eastAsia" w:ascii="宋体" w:hAnsi="宋体"/>
                <w:color w:val="auto"/>
                <w:highlight w:val="none"/>
              </w:rPr>
              <w:t>2.如果客户端支持自描述，触发其启动自描述过程，检查是否对所有配置服务器的逻辑节点发送GetLogicalNodeDirectory(LCB)请求；</w:t>
            </w:r>
          </w:p>
          <w:p>
            <w:pPr>
              <w:spacing w:before="40" w:after="40"/>
              <w:rPr>
                <w:rFonts w:ascii="宋体" w:eastAsia="Times New Roman"/>
                <w:color w:val="auto"/>
                <w:highlight w:val="none"/>
              </w:rPr>
            </w:pPr>
            <w:r>
              <w:rPr>
                <w:rFonts w:hint="eastAsia" w:ascii="宋体" w:hAnsi="宋体"/>
                <w:color w:val="auto"/>
                <w:highlight w:val="none"/>
              </w:rPr>
              <w:t>3.如果客户端支持自描述，触发其启动自描述过程，检查是否对GetLogicalNodeDirectory(LCB)发现的LOGs发送GeLogStatusValues请求；</w:t>
            </w:r>
          </w:p>
          <w:p>
            <w:pPr>
              <w:spacing w:before="40" w:after="40"/>
              <w:rPr>
                <w:rFonts w:ascii="宋体" w:eastAsia="Times New Roman"/>
                <w:color w:val="auto"/>
                <w:highlight w:val="none"/>
              </w:rPr>
            </w:pPr>
            <w:r>
              <w:rPr>
                <w:rFonts w:hint="eastAsia" w:ascii="宋体" w:hAnsi="宋体"/>
                <w:color w:val="auto"/>
                <w:highlight w:val="none"/>
              </w:rPr>
              <w:t>4.如果客户端支持自描述，触发其启动自描述过程，检查是否对GetLogicalNodeDirectory(LCB)发现的LCBs发送GeLCBValues请求；</w:t>
            </w:r>
          </w:p>
          <w:p>
            <w:pPr>
              <w:spacing w:before="40" w:after="40"/>
              <w:rPr>
                <w:rFonts w:ascii="宋体" w:eastAsia="Times New Roman"/>
                <w:color w:val="auto"/>
                <w:highlight w:val="none"/>
              </w:rPr>
            </w:pPr>
            <w:r>
              <w:rPr>
                <w:rFonts w:hint="eastAsia" w:ascii="宋体" w:hAnsi="宋体"/>
                <w:color w:val="auto"/>
                <w:highlight w:val="none"/>
              </w:rPr>
              <w:t>5.如果客户端在启动后使用SetLCBValues服务配置服务器的LogControlBlock参数，检查发送的SetLCBValues带有已配置值；</w:t>
            </w:r>
          </w:p>
          <w:p>
            <w:pPr>
              <w:spacing w:before="40" w:after="40"/>
              <w:rPr>
                <w:rFonts w:ascii="宋体" w:eastAsia="Times New Roman"/>
                <w:color w:val="auto"/>
                <w:highlight w:val="none"/>
              </w:rPr>
            </w:pPr>
            <w:r>
              <w:rPr>
                <w:rFonts w:hint="eastAsia" w:ascii="宋体" w:hAnsi="宋体"/>
                <w:color w:val="auto"/>
                <w:highlight w:val="none"/>
              </w:rPr>
              <w:t>6.触发客户端使能服务器的至少一个LOG，检查客户端能够正确的发送请求；</w:t>
            </w:r>
          </w:p>
          <w:p>
            <w:pPr>
              <w:spacing w:before="40" w:after="40"/>
              <w:rPr>
                <w:rFonts w:ascii="宋体" w:eastAsia="Times New Roman"/>
                <w:color w:val="auto"/>
                <w:highlight w:val="none"/>
              </w:rPr>
            </w:pPr>
            <w:r>
              <w:rPr>
                <w:rFonts w:hint="eastAsia" w:ascii="宋体" w:hAnsi="宋体"/>
                <w:color w:val="auto"/>
                <w:highlight w:val="none"/>
              </w:rPr>
              <w:t>7.触发客户端进行QueryLogByTime 或 QueryLogByEntry，检查客户端能够用接收到的Log更新数据；</w:t>
            </w:r>
          </w:p>
          <w:p>
            <w:pPr>
              <w:pStyle w:val="198"/>
              <w:spacing w:before="0" w:after="0"/>
              <w:rPr>
                <w:rFonts w:ascii="宋体" w:eastAsia="Times New Roman"/>
                <w:color w:val="auto"/>
                <w:highlight w:val="none"/>
              </w:rPr>
            </w:pPr>
            <w:r>
              <w:rPr>
                <w:rFonts w:ascii="宋体" w:hAnsi="宋体"/>
                <w:color w:val="auto"/>
                <w:highlight w:val="none"/>
              </w:rPr>
              <w:t>8.如果客户端支持自描述，触发客户端启动自描述过程，检查客户端当请求GetLogicalNodeDirectory (LCB)和GetLogicalNodeDirectory (LOG)收到否定响应时，仍能够与其他服务器继续通信；</w:t>
            </w:r>
          </w:p>
          <w:p>
            <w:pPr>
              <w:pStyle w:val="198"/>
              <w:spacing w:before="0" w:after="0"/>
              <w:rPr>
                <w:rFonts w:ascii="宋体" w:eastAsia="Times New Roman"/>
                <w:color w:val="auto"/>
                <w:highlight w:val="none"/>
              </w:rPr>
            </w:pPr>
            <w:r>
              <w:rPr>
                <w:rFonts w:ascii="宋体" w:hAnsi="宋体"/>
                <w:color w:val="auto"/>
                <w:highlight w:val="none"/>
              </w:rPr>
              <w:t>9.检查客户端收到GetLCBValues/GetLogStatus的否定响应时，仍然能够正常工作；</w:t>
            </w:r>
          </w:p>
          <w:p>
            <w:pPr>
              <w:pStyle w:val="198"/>
              <w:spacing w:before="0" w:after="0"/>
              <w:rPr>
                <w:rFonts w:ascii="宋体" w:eastAsia="Times New Roman"/>
                <w:color w:val="auto"/>
                <w:highlight w:val="none"/>
              </w:rPr>
            </w:pPr>
            <w:r>
              <w:rPr>
                <w:rFonts w:ascii="宋体" w:hAnsi="宋体"/>
                <w:color w:val="auto"/>
                <w:highlight w:val="none"/>
              </w:rPr>
              <w:t>10． 检查客户端收到SetLCBValues的否定响应时，仍然能够正常工作。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客户端自描述功能为可选功能。使用子站自身的日志控制块进行测试。</w:t>
            </w:r>
          </w:p>
        </w:tc>
      </w:tr>
    </w:tbl>
    <w:p>
      <w:pPr>
        <w:rPr>
          <w:rFonts w:eastAsia="Times New Roman"/>
          <w:color w:val="auto"/>
          <w:highlight w:val="none"/>
        </w:rPr>
      </w:pPr>
    </w:p>
    <w:p>
      <w:pPr>
        <w:outlineLvl w:val="2"/>
        <w:rPr>
          <w:color w:val="auto"/>
          <w:highlight w:val="none"/>
        </w:rPr>
      </w:pPr>
      <w:bookmarkStart w:id="310" w:name="_Toc238866317"/>
      <w:bookmarkStart w:id="311" w:name="_Toc484019011"/>
      <w:bookmarkStart w:id="312" w:name="_Toc528273627"/>
      <w:r>
        <w:rPr>
          <w:color w:val="auto"/>
          <w:highlight w:val="none"/>
        </w:rPr>
        <w:t>A.12 控制</w:t>
      </w:r>
      <w:bookmarkEnd w:id="310"/>
      <w:bookmarkEnd w:id="311"/>
      <w:bookmarkEnd w:id="31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bookmarkStart w:id="313" w:name="_Toc176238144"/>
            <w:bookmarkStart w:id="314" w:name="_Toc176238141"/>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控制功能测试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被测客户端控制功能符合标准要求。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1．客户端应能够在命令中设置TEST域（PIXIT）；</w:t>
            </w:r>
          </w:p>
          <w:p>
            <w:pPr>
              <w:spacing w:before="40" w:after="40"/>
              <w:rPr>
                <w:rFonts w:ascii="宋体" w:eastAsia="Times New Roman"/>
                <w:color w:val="auto"/>
                <w:highlight w:val="none"/>
              </w:rPr>
            </w:pPr>
            <w:r>
              <w:rPr>
                <w:rFonts w:hint="eastAsia" w:ascii="宋体" w:hAnsi="宋体"/>
                <w:color w:val="auto"/>
                <w:highlight w:val="none"/>
              </w:rPr>
              <w:t>2. 客户端能够对支持的控制模式，在命令中（PIXIT）设置CHECK（同期检查和互锁检查）；</w:t>
            </w:r>
          </w:p>
          <w:p>
            <w:pPr>
              <w:spacing w:before="40" w:after="40"/>
              <w:rPr>
                <w:rFonts w:ascii="宋体" w:eastAsia="Times New Roman"/>
                <w:color w:val="auto"/>
                <w:highlight w:val="none"/>
              </w:rPr>
            </w:pPr>
            <w:r>
              <w:rPr>
                <w:rFonts w:hint="eastAsia" w:ascii="宋体" w:hAnsi="宋体"/>
                <w:color w:val="auto"/>
                <w:highlight w:val="none"/>
              </w:rPr>
              <w:t>3. 客户端能够使用在线服务（PIXIT）改变控制模式；</w:t>
            </w:r>
          </w:p>
          <w:p>
            <w:pPr>
              <w:spacing w:before="40" w:after="40"/>
              <w:rPr>
                <w:rFonts w:ascii="宋体" w:eastAsia="Times New Roman"/>
                <w:color w:val="auto"/>
                <w:highlight w:val="none"/>
              </w:rPr>
            </w:pPr>
            <w:r>
              <w:rPr>
                <w:rFonts w:hint="eastAsia" w:ascii="宋体" w:hAnsi="宋体"/>
                <w:color w:val="auto"/>
                <w:highlight w:val="none"/>
              </w:rPr>
              <w:t>4.检查Originator category &amp; identification和控制序号的值（PIXIT）；</w:t>
            </w:r>
          </w:p>
          <w:p>
            <w:pPr>
              <w:spacing w:before="40" w:after="40"/>
              <w:rPr>
                <w:rFonts w:ascii="宋体" w:eastAsia="Times New Roman"/>
                <w:color w:val="auto"/>
                <w:highlight w:val="none"/>
              </w:rPr>
            </w:pPr>
            <w:r>
              <w:rPr>
                <w:rFonts w:hint="eastAsia" w:ascii="宋体" w:hAnsi="宋体"/>
                <w:color w:val="auto"/>
                <w:highlight w:val="none"/>
              </w:rPr>
              <w:t>5.客户端检测到控制模式不匹配后，用合理的方式处理（PIXIT）；</w:t>
            </w:r>
          </w:p>
          <w:p>
            <w:pPr>
              <w:spacing w:before="40" w:after="40"/>
              <w:rPr>
                <w:rFonts w:ascii="宋体" w:eastAsia="Times New Roman"/>
                <w:color w:val="auto"/>
                <w:highlight w:val="none"/>
              </w:rPr>
            </w:pPr>
            <w:r>
              <w:rPr>
                <w:rFonts w:hint="eastAsia" w:ascii="宋体" w:hAnsi="宋体"/>
                <w:color w:val="auto"/>
                <w:highlight w:val="none"/>
              </w:rPr>
              <w:t>6. 客户端检测到SCL文件中控制模式未初始化时，应合理处理（PIXIT）。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1.检查客户端是否能够在命令中设置TEST域（PIXIT）</w:t>
            </w:r>
          </w:p>
          <w:p>
            <w:pPr>
              <w:spacing w:before="40" w:after="40"/>
              <w:rPr>
                <w:rFonts w:ascii="宋体" w:eastAsia="Times New Roman"/>
                <w:color w:val="auto"/>
                <w:highlight w:val="none"/>
              </w:rPr>
            </w:pPr>
            <w:r>
              <w:rPr>
                <w:rFonts w:hint="eastAsia" w:ascii="宋体" w:hAnsi="宋体"/>
                <w:color w:val="auto"/>
                <w:highlight w:val="none"/>
              </w:rPr>
              <w:t>2.检查是否客户端能够对支持的控制模式，在命令中（PIXIT）设置CHECK（同期检查和互锁检查）</w:t>
            </w:r>
          </w:p>
          <w:p>
            <w:pPr>
              <w:spacing w:before="40" w:after="40"/>
              <w:rPr>
                <w:rFonts w:ascii="宋体" w:eastAsia="Times New Roman"/>
                <w:color w:val="auto"/>
                <w:highlight w:val="none"/>
              </w:rPr>
            </w:pPr>
            <w:r>
              <w:rPr>
                <w:rFonts w:hint="eastAsia" w:ascii="宋体" w:hAnsi="宋体"/>
                <w:color w:val="auto"/>
                <w:highlight w:val="none"/>
              </w:rPr>
              <w:t>3.检查客户端是否能够使用在线服务（PIXIT）改变控制模式</w:t>
            </w:r>
          </w:p>
          <w:p>
            <w:pPr>
              <w:spacing w:before="40" w:after="40"/>
              <w:rPr>
                <w:rFonts w:ascii="宋体" w:eastAsia="Times New Roman"/>
                <w:color w:val="auto"/>
                <w:highlight w:val="none"/>
              </w:rPr>
            </w:pPr>
            <w:r>
              <w:rPr>
                <w:rFonts w:hint="eastAsia" w:ascii="宋体" w:hAnsi="宋体"/>
                <w:color w:val="auto"/>
                <w:highlight w:val="none"/>
              </w:rPr>
              <w:t>4.检查Originator category &amp; identification和控制序号的值（PIXIT）</w:t>
            </w:r>
          </w:p>
          <w:p>
            <w:pPr>
              <w:spacing w:before="40" w:after="40"/>
              <w:rPr>
                <w:rFonts w:ascii="宋体" w:eastAsia="Times New Roman"/>
                <w:color w:val="auto"/>
                <w:highlight w:val="none"/>
              </w:rPr>
            </w:pPr>
            <w:r>
              <w:rPr>
                <w:rFonts w:hint="eastAsia" w:ascii="宋体" w:hAnsi="宋体"/>
                <w:color w:val="auto"/>
                <w:highlight w:val="none"/>
              </w:rPr>
              <w:t>5.检查客户端检测到控制模式不匹配后，用合理的方式处理（PIXIT）：</w:t>
            </w:r>
          </w:p>
          <w:p>
            <w:pPr>
              <w:spacing w:before="40" w:after="40"/>
              <w:rPr>
                <w:rFonts w:ascii="宋体" w:eastAsia="Times New Roman"/>
                <w:color w:val="auto"/>
                <w:highlight w:val="none"/>
              </w:rPr>
            </w:pPr>
            <w:r>
              <w:rPr>
                <w:rFonts w:hint="eastAsia" w:ascii="宋体" w:hAnsi="宋体"/>
                <w:color w:val="auto"/>
                <w:highlight w:val="none"/>
              </w:rPr>
              <w:t>a) 服务器是Status-only，客户端却认为可控</w:t>
            </w:r>
          </w:p>
          <w:p>
            <w:pPr>
              <w:pStyle w:val="198"/>
              <w:spacing w:before="0" w:after="0"/>
              <w:rPr>
                <w:rFonts w:ascii="宋体" w:eastAsia="Times New Roman"/>
                <w:color w:val="auto"/>
                <w:highlight w:val="none"/>
              </w:rPr>
            </w:pPr>
            <w:r>
              <w:rPr>
                <w:rFonts w:ascii="宋体" w:hAnsi="宋体"/>
                <w:color w:val="auto"/>
                <w:highlight w:val="none"/>
              </w:rPr>
              <w:t>b) 服务器是SBO, 客户端却认为是直控</w:t>
            </w:r>
          </w:p>
          <w:p>
            <w:pPr>
              <w:pStyle w:val="198"/>
              <w:spacing w:before="0" w:after="0"/>
              <w:rPr>
                <w:rFonts w:ascii="宋体" w:eastAsia="Times New Roman"/>
                <w:color w:val="auto"/>
                <w:highlight w:val="none"/>
              </w:rPr>
            </w:pPr>
            <w:r>
              <w:rPr>
                <w:rFonts w:ascii="宋体" w:hAnsi="宋体"/>
                <w:color w:val="auto"/>
                <w:highlight w:val="none"/>
              </w:rPr>
              <w:t>c) 服务器是直接控制，客户端却认为是SBO</w:t>
            </w:r>
          </w:p>
          <w:p>
            <w:pPr>
              <w:pStyle w:val="198"/>
              <w:spacing w:before="0" w:after="0"/>
              <w:rPr>
                <w:rFonts w:ascii="宋体" w:eastAsia="Times New Roman"/>
                <w:color w:val="auto"/>
                <w:highlight w:val="none"/>
              </w:rPr>
            </w:pPr>
            <w:r>
              <w:rPr>
                <w:rFonts w:ascii="宋体" w:hAnsi="宋体"/>
                <w:color w:val="auto"/>
                <w:highlight w:val="none"/>
              </w:rPr>
              <w:t>6.检查客户端检测到SCL文件中控制模式未初始化时，是否用合理方式处理</w:t>
            </w:r>
            <w:r>
              <w:rPr>
                <w:rFonts w:hint="eastAsia" w:ascii="宋体" w:hAnsi="宋体"/>
                <w:color w:val="auto"/>
                <w:highlight w:val="none"/>
              </w:rPr>
              <w:t>（PIXIT）</w:t>
            </w:r>
            <w:r>
              <w:rPr>
                <w:rFonts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bookmarkEnd w:id="313"/>
      <w:bookmarkEnd w:id="314"/>
    </w:tbl>
    <w:p>
      <w:pPr>
        <w:rPr>
          <w:rFonts w:eastAsia="Times New Roman"/>
          <w:color w:val="auto"/>
          <w:highlight w:val="none"/>
        </w:rPr>
      </w:pPr>
      <w:bookmarkStart w:id="315" w:name="_Toc176238145"/>
    </w:p>
    <w:p>
      <w:pPr>
        <w:outlineLvl w:val="2"/>
        <w:rPr>
          <w:color w:val="auto"/>
          <w:highlight w:val="none"/>
        </w:rPr>
      </w:pPr>
      <w:bookmarkStart w:id="316" w:name="_Toc238866318"/>
      <w:bookmarkStart w:id="317" w:name="_Toc484019012"/>
      <w:bookmarkStart w:id="318" w:name="_Toc528273628"/>
      <w:r>
        <w:rPr>
          <w:color w:val="auto"/>
          <w:highlight w:val="none"/>
        </w:rPr>
        <w:t>A.13</w:t>
      </w:r>
      <w:r>
        <w:rPr>
          <w:color w:val="auto"/>
          <w:highlight w:val="none"/>
        </w:rPr>
        <w:tab/>
      </w:r>
      <w:bookmarkEnd w:id="315"/>
      <w:r>
        <w:rPr>
          <w:color w:val="auto"/>
          <w:highlight w:val="none"/>
        </w:rPr>
        <w:t>时间和时间同步</w:t>
      </w:r>
      <w:bookmarkEnd w:id="316"/>
      <w:bookmarkEnd w:id="317"/>
      <w:bookmarkEnd w:id="31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bookmarkStart w:id="319" w:name="_Toc176238146"/>
            <w:bookmarkStart w:id="320" w:name="_Toc238866319"/>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时间和时间同步测试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被测客户端时间和时间同步测试符合标准要求。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 客户端支持SCSM时间同步，改变时间服务器的时间，检查客户端使用新的时间；</w:t>
            </w:r>
          </w:p>
          <w:p>
            <w:pPr>
              <w:pStyle w:val="198"/>
              <w:spacing w:before="0" w:after="0"/>
              <w:rPr>
                <w:rFonts w:ascii="宋体" w:eastAsia="Times New Roman"/>
                <w:color w:val="auto"/>
                <w:highlight w:val="none"/>
              </w:rPr>
            </w:pPr>
            <w:r>
              <w:rPr>
                <w:rFonts w:ascii="宋体" w:hAnsi="宋体"/>
                <w:color w:val="auto"/>
                <w:highlight w:val="none"/>
              </w:rPr>
              <w:t>2. 客户端时标精度与（PICS或PIXIT）文档时标精度相一致；</w:t>
            </w:r>
          </w:p>
          <w:p>
            <w:pPr>
              <w:pStyle w:val="198"/>
              <w:spacing w:before="0" w:after="0"/>
              <w:rPr>
                <w:rFonts w:ascii="宋体" w:eastAsia="Times New Roman"/>
                <w:color w:val="auto"/>
                <w:highlight w:val="none"/>
              </w:rPr>
            </w:pPr>
            <w:r>
              <w:rPr>
                <w:rFonts w:ascii="宋体" w:hAnsi="宋体"/>
                <w:color w:val="auto"/>
                <w:highlight w:val="none"/>
              </w:rPr>
              <w:t>3.时间同步丢失能够在一定周期内被检测出来，并且时标品质无效置位；</w:t>
            </w:r>
          </w:p>
          <w:p>
            <w:pPr>
              <w:pStyle w:val="198"/>
              <w:spacing w:before="0" w:after="0"/>
              <w:rPr>
                <w:rFonts w:ascii="宋体" w:eastAsia="Times New Roman"/>
                <w:color w:val="auto"/>
                <w:highlight w:val="none"/>
              </w:rPr>
            </w:pPr>
            <w:r>
              <w:rPr>
                <w:rFonts w:ascii="宋体" w:hAnsi="宋体"/>
                <w:color w:val="auto"/>
                <w:highlight w:val="none"/>
              </w:rPr>
              <w:t>4. 客户端能够处理来自时间服务器的时标品质。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pStyle w:val="198"/>
              <w:spacing w:before="0" w:after="0"/>
              <w:rPr>
                <w:rFonts w:ascii="宋体" w:eastAsia="Times New Roman"/>
                <w:color w:val="auto"/>
                <w:highlight w:val="none"/>
              </w:rPr>
            </w:pPr>
            <w:r>
              <w:rPr>
                <w:rFonts w:ascii="宋体" w:hAnsi="宋体"/>
                <w:color w:val="auto"/>
                <w:highlight w:val="none"/>
              </w:rPr>
              <w:t>1.检查客户端支持SCSM时间同步，改变时间服务器的时间，检查客户端使用新的时间；</w:t>
            </w:r>
          </w:p>
          <w:p>
            <w:pPr>
              <w:pStyle w:val="198"/>
              <w:spacing w:before="0" w:after="0"/>
              <w:rPr>
                <w:rFonts w:ascii="宋体" w:eastAsia="Times New Roman"/>
                <w:color w:val="auto"/>
                <w:highlight w:val="none"/>
              </w:rPr>
            </w:pPr>
            <w:r>
              <w:rPr>
                <w:rFonts w:ascii="宋体" w:hAnsi="宋体"/>
                <w:color w:val="auto"/>
                <w:highlight w:val="none"/>
              </w:rPr>
              <w:t>2.检查客户端时标精度与（PICS或PIXIT）文档时标精度相一致；</w:t>
            </w:r>
          </w:p>
          <w:p>
            <w:pPr>
              <w:pStyle w:val="198"/>
              <w:spacing w:before="0" w:after="0"/>
              <w:rPr>
                <w:rFonts w:ascii="宋体" w:eastAsia="Times New Roman"/>
                <w:color w:val="auto"/>
                <w:highlight w:val="none"/>
              </w:rPr>
            </w:pPr>
            <w:r>
              <w:rPr>
                <w:rFonts w:ascii="宋体" w:hAnsi="宋体"/>
                <w:color w:val="auto"/>
                <w:highlight w:val="none"/>
              </w:rPr>
              <w:t>3.检查时间同步丢失能够在一定周期内被检测出来，并且时标品质无效置位；</w:t>
            </w:r>
          </w:p>
          <w:p>
            <w:pPr>
              <w:pStyle w:val="198"/>
              <w:spacing w:before="0" w:after="0"/>
              <w:rPr>
                <w:rFonts w:ascii="宋体" w:eastAsia="Times New Roman"/>
                <w:color w:val="auto"/>
                <w:highlight w:val="none"/>
              </w:rPr>
            </w:pPr>
            <w:r>
              <w:rPr>
                <w:rFonts w:ascii="宋体" w:hAnsi="宋体"/>
                <w:color w:val="auto"/>
                <w:highlight w:val="none"/>
              </w:rPr>
              <w:t>4.检查客户端能够处理来自时间服务器的时标品质。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bl>
    <w:p>
      <w:pPr>
        <w:rPr>
          <w:rFonts w:ascii="仿宋_GB2312" w:eastAsia="仿宋_GB2312"/>
          <w:b/>
          <w:color w:val="auto"/>
          <w:highlight w:val="none"/>
        </w:rPr>
      </w:pPr>
    </w:p>
    <w:p>
      <w:pPr>
        <w:rPr>
          <w:rFonts w:ascii="仿宋_GB2312" w:eastAsia="仿宋_GB2312"/>
          <w:b/>
          <w:color w:val="auto"/>
          <w:highlight w:val="none"/>
        </w:rPr>
      </w:pPr>
    </w:p>
    <w:p>
      <w:pPr>
        <w:outlineLvl w:val="2"/>
        <w:rPr>
          <w:color w:val="auto"/>
          <w:highlight w:val="none"/>
        </w:rPr>
      </w:pPr>
      <w:bookmarkStart w:id="321" w:name="_Toc484019013"/>
      <w:bookmarkStart w:id="322" w:name="_Toc528273629"/>
      <w:r>
        <w:rPr>
          <w:color w:val="auto"/>
          <w:highlight w:val="none"/>
        </w:rPr>
        <w:t>A</w:t>
      </w:r>
      <w:bookmarkEnd w:id="319"/>
      <w:r>
        <w:rPr>
          <w:color w:val="auto"/>
          <w:highlight w:val="none"/>
        </w:rPr>
        <w:t>.14 文件传输</w:t>
      </w:r>
      <w:bookmarkEnd w:id="320"/>
      <w:bookmarkEnd w:id="321"/>
      <w:bookmarkEnd w:id="322"/>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时间和时间同步测试</w:t>
            </w:r>
          </w:p>
        </w:tc>
        <w:tc>
          <w:tcPr>
            <w:tcW w:w="809"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kern w:val="0"/>
                <w:highlight w:val="none"/>
              </w:rPr>
              <w:t>Temp-Clt14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hAnsi="黑体" w:eastAsia="Times New Roman"/>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spacing w:val="8"/>
                <w:kern w:val="0"/>
                <w:highlight w:val="none"/>
                <w:lang w:val="en-GB"/>
              </w:rPr>
              <w:t>被测客户端文件传输测试符合标准要求。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1.客户端能够用正确的参数请求GetServerDirectory(FILE)，并处理响应</w:t>
            </w:r>
          </w:p>
          <w:p>
            <w:pPr>
              <w:spacing w:before="40" w:after="40"/>
              <w:rPr>
                <w:rFonts w:ascii="宋体" w:eastAsia="Times New Roman"/>
                <w:color w:val="auto"/>
                <w:highlight w:val="none"/>
              </w:rPr>
            </w:pPr>
            <w:r>
              <w:rPr>
                <w:rFonts w:hint="eastAsia" w:ascii="宋体" w:hAnsi="宋体"/>
                <w:color w:val="auto"/>
                <w:highlight w:val="none"/>
              </w:rPr>
              <w:t>(IEC 61850-7-2，6.2.2)；</w:t>
            </w:r>
          </w:p>
          <w:p>
            <w:pPr>
              <w:spacing w:before="40" w:after="40"/>
              <w:rPr>
                <w:rFonts w:ascii="宋体" w:eastAsia="Times New Roman"/>
                <w:color w:val="auto"/>
                <w:highlight w:val="none"/>
              </w:rPr>
            </w:pPr>
            <w:r>
              <w:rPr>
                <w:rFonts w:hint="eastAsia" w:ascii="宋体" w:hAnsi="宋体"/>
                <w:color w:val="auto"/>
                <w:highlight w:val="none"/>
              </w:rPr>
              <w:t>2.客户端可用正确的参数请求GetFileAttributeValues，检查客户端能够处理请求(IEC 61850-7-2 clause 20.2.4)；</w:t>
            </w:r>
          </w:p>
          <w:p>
            <w:pPr>
              <w:spacing w:before="40" w:after="40"/>
              <w:rPr>
                <w:rFonts w:ascii="宋体" w:eastAsia="Times New Roman"/>
                <w:color w:val="auto"/>
                <w:highlight w:val="none"/>
              </w:rPr>
            </w:pPr>
            <w:r>
              <w:rPr>
                <w:rFonts w:hint="eastAsia" w:ascii="宋体" w:hAnsi="宋体"/>
                <w:color w:val="auto"/>
                <w:highlight w:val="none"/>
              </w:rPr>
              <w:t>3.客户端能够用正确的参数请求GetFile，并检查客户端能够处理请求(IEC 61850-7-2，20.2.1)；</w:t>
            </w:r>
          </w:p>
          <w:p>
            <w:pPr>
              <w:spacing w:before="40" w:after="40"/>
              <w:rPr>
                <w:rFonts w:ascii="宋体" w:eastAsia="Times New Roman"/>
                <w:color w:val="auto"/>
                <w:highlight w:val="none"/>
              </w:rPr>
            </w:pPr>
            <w:r>
              <w:rPr>
                <w:rFonts w:hint="eastAsia" w:ascii="宋体" w:hAnsi="宋体"/>
                <w:color w:val="auto"/>
                <w:highlight w:val="none"/>
              </w:rPr>
              <w:t>4.客户端用小文件和大文件请求SetFile下装文件，检查客户端能发送文件；</w:t>
            </w:r>
          </w:p>
          <w:p>
            <w:pPr>
              <w:widowControl/>
              <w:tabs>
                <w:tab w:val="left" w:pos="1800"/>
              </w:tabs>
              <w:spacing w:before="40" w:after="40" w:line="312" w:lineRule="auto"/>
              <w:jc w:val="left"/>
              <w:rPr>
                <w:rFonts w:ascii="宋体" w:eastAsia="Times New Roman"/>
                <w:color w:val="auto"/>
                <w:highlight w:val="none"/>
              </w:rPr>
            </w:pPr>
            <w:r>
              <w:rPr>
                <w:rFonts w:hint="eastAsia" w:ascii="宋体" w:hAnsi="宋体"/>
                <w:color w:val="auto"/>
                <w:highlight w:val="none"/>
              </w:rPr>
              <w:t>5.客户端能够用正确的参数请求DeleteFile并且检查客户端能够处理响应；</w:t>
            </w:r>
          </w:p>
          <w:p>
            <w:pPr>
              <w:spacing w:before="40" w:after="40"/>
              <w:rPr>
                <w:rFonts w:ascii="宋体" w:eastAsia="Times New Roman"/>
                <w:color w:val="auto"/>
                <w:highlight w:val="none"/>
              </w:rPr>
            </w:pPr>
            <w:r>
              <w:rPr>
                <w:rFonts w:hint="eastAsia" w:ascii="宋体" w:hAnsi="宋体"/>
                <w:color w:val="auto"/>
                <w:highlight w:val="none"/>
              </w:rPr>
              <w:t>6.强制服务器模拟器对GetFile进行否定响应，并且检查客户端报告出错；</w:t>
            </w:r>
          </w:p>
          <w:p>
            <w:pPr>
              <w:spacing w:before="40" w:after="40"/>
              <w:rPr>
                <w:rFonts w:ascii="宋体" w:eastAsia="Times New Roman"/>
                <w:color w:val="auto"/>
                <w:highlight w:val="none"/>
              </w:rPr>
            </w:pPr>
            <w:r>
              <w:rPr>
                <w:rFonts w:hint="eastAsia" w:ascii="宋体" w:hAnsi="宋体"/>
                <w:color w:val="auto"/>
                <w:highlight w:val="none"/>
              </w:rPr>
              <w:t>7.强制服务器模拟器对GetFileAttributeValues进行否定响应，并且检查客户端报告出错；</w:t>
            </w:r>
          </w:p>
          <w:p>
            <w:pPr>
              <w:spacing w:before="40" w:after="40"/>
              <w:rPr>
                <w:rFonts w:ascii="宋体" w:eastAsia="Times New Roman"/>
                <w:color w:val="auto"/>
                <w:highlight w:val="none"/>
              </w:rPr>
            </w:pPr>
            <w:r>
              <w:rPr>
                <w:rFonts w:hint="eastAsia" w:ascii="宋体" w:hAnsi="宋体"/>
                <w:color w:val="auto"/>
                <w:highlight w:val="none"/>
              </w:rPr>
              <w:t>8.强制服务器模拟器对SetFile进行否定响应，并且检查客户端报告出错。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spacing w:before="40" w:after="40"/>
              <w:rPr>
                <w:rFonts w:ascii="宋体" w:eastAsia="Times New Roman"/>
                <w:color w:val="auto"/>
                <w:highlight w:val="none"/>
              </w:rPr>
            </w:pPr>
            <w:r>
              <w:rPr>
                <w:rFonts w:hint="eastAsia" w:ascii="宋体" w:hAnsi="宋体"/>
                <w:color w:val="auto"/>
                <w:highlight w:val="none"/>
              </w:rPr>
              <w:t>1.检查客户端能够用正确的参数请求GetServerDirectory(FILE)，并处理响应</w:t>
            </w:r>
          </w:p>
          <w:p>
            <w:pPr>
              <w:spacing w:before="40" w:after="40"/>
              <w:rPr>
                <w:rFonts w:ascii="宋体" w:eastAsia="Times New Roman"/>
                <w:color w:val="auto"/>
                <w:highlight w:val="none"/>
              </w:rPr>
            </w:pPr>
            <w:r>
              <w:rPr>
                <w:rFonts w:hint="eastAsia" w:ascii="宋体" w:hAnsi="宋体"/>
                <w:color w:val="auto"/>
                <w:highlight w:val="none"/>
              </w:rPr>
              <w:t>(IEC 61850-7-2，6.2.2)；</w:t>
            </w:r>
          </w:p>
          <w:p>
            <w:pPr>
              <w:spacing w:before="40" w:after="40"/>
              <w:rPr>
                <w:rFonts w:ascii="宋体" w:eastAsia="Times New Roman"/>
                <w:color w:val="auto"/>
                <w:highlight w:val="none"/>
              </w:rPr>
            </w:pPr>
            <w:r>
              <w:rPr>
                <w:rFonts w:hint="eastAsia" w:ascii="宋体" w:hAnsi="宋体"/>
                <w:color w:val="auto"/>
                <w:highlight w:val="none"/>
              </w:rPr>
              <w:t>2.检查客户端能够用正确的参数请求GetFileAttributeValues，检查客户端能够处理请求(IEC 61850-7-2 clause 20.2.4)；</w:t>
            </w:r>
          </w:p>
          <w:p>
            <w:pPr>
              <w:spacing w:before="40" w:after="40"/>
              <w:rPr>
                <w:rFonts w:ascii="宋体" w:eastAsia="Times New Roman"/>
                <w:color w:val="auto"/>
                <w:highlight w:val="none"/>
              </w:rPr>
            </w:pPr>
            <w:r>
              <w:rPr>
                <w:rFonts w:hint="eastAsia" w:ascii="宋体" w:hAnsi="宋体"/>
                <w:color w:val="auto"/>
                <w:highlight w:val="none"/>
              </w:rPr>
              <w:t>3.检查客户端能够用正确的参数请求GetFile，并检查客户端能够处理请求(IEC 61850-7-2，20.2.1)；</w:t>
            </w:r>
          </w:p>
          <w:p>
            <w:pPr>
              <w:spacing w:before="40" w:after="40"/>
              <w:rPr>
                <w:rFonts w:ascii="宋体" w:eastAsia="Times New Roman"/>
                <w:color w:val="auto"/>
                <w:highlight w:val="none"/>
              </w:rPr>
            </w:pPr>
            <w:r>
              <w:rPr>
                <w:rFonts w:hint="eastAsia" w:ascii="宋体" w:hAnsi="宋体"/>
                <w:color w:val="auto"/>
                <w:highlight w:val="none"/>
              </w:rPr>
              <w:t>4.客户端用小文件和大文件请求SetFile下装文件，检查客户端能发送文件；</w:t>
            </w:r>
          </w:p>
          <w:p>
            <w:pPr>
              <w:widowControl/>
              <w:tabs>
                <w:tab w:val="left" w:pos="1800"/>
              </w:tabs>
              <w:spacing w:before="40" w:after="40" w:line="312" w:lineRule="auto"/>
              <w:jc w:val="left"/>
              <w:rPr>
                <w:rFonts w:ascii="宋体" w:eastAsia="Times New Roman"/>
                <w:color w:val="auto"/>
                <w:highlight w:val="none"/>
              </w:rPr>
            </w:pPr>
            <w:r>
              <w:rPr>
                <w:rFonts w:hint="eastAsia" w:ascii="宋体" w:hAnsi="宋体"/>
                <w:color w:val="auto"/>
                <w:highlight w:val="none"/>
              </w:rPr>
              <w:t>5.检查客户端能够用正确的参数请求DeleteFile并且检查客户端能够处理响应；</w:t>
            </w:r>
          </w:p>
          <w:p>
            <w:pPr>
              <w:spacing w:before="40" w:after="40"/>
              <w:rPr>
                <w:rFonts w:ascii="宋体" w:eastAsia="Times New Roman"/>
                <w:color w:val="auto"/>
                <w:highlight w:val="none"/>
              </w:rPr>
            </w:pPr>
            <w:r>
              <w:rPr>
                <w:rFonts w:hint="eastAsia" w:ascii="宋体" w:hAnsi="宋体"/>
                <w:color w:val="auto"/>
                <w:highlight w:val="none"/>
              </w:rPr>
              <w:t>6.强制服务器模拟器对GetFile进行否定响应，并且检查客户端报告出错；</w:t>
            </w:r>
          </w:p>
          <w:p>
            <w:pPr>
              <w:spacing w:before="40" w:after="40"/>
              <w:rPr>
                <w:rFonts w:ascii="宋体" w:eastAsia="Times New Roman"/>
                <w:color w:val="auto"/>
                <w:highlight w:val="none"/>
              </w:rPr>
            </w:pPr>
            <w:r>
              <w:rPr>
                <w:rFonts w:hint="eastAsia" w:ascii="宋体" w:hAnsi="宋体"/>
                <w:color w:val="auto"/>
                <w:highlight w:val="none"/>
              </w:rPr>
              <w:t>7.强制服务器模拟器对GetFileAttributeValues进行否定响应，并且检查客户端报告出错；</w:t>
            </w:r>
          </w:p>
          <w:p>
            <w:pPr>
              <w:pStyle w:val="198"/>
              <w:spacing w:before="156" w:after="156" w:line="312" w:lineRule="auto"/>
              <w:rPr>
                <w:rFonts w:ascii="宋体" w:eastAsia="Times New Roman"/>
                <w:color w:val="auto"/>
                <w:highlight w:val="none"/>
              </w:rPr>
            </w:pPr>
            <w:r>
              <w:rPr>
                <w:rFonts w:ascii="宋体" w:hAnsi="宋体"/>
                <w:color w:val="auto"/>
                <w:highlight w:val="none"/>
              </w:rPr>
              <w:t>8.强制服务器模拟器对SetFile进行否定响应，并且检查客户端报告出错。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eastAsia="Times New Roman"/>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rFonts w:eastAsia="Times New Roman"/>
                <w:color w:val="auto"/>
                <w:highlight w:val="none"/>
              </w:rPr>
            </w:pPr>
            <w:r>
              <w:rPr>
                <w:rFonts w:hint="eastAsia" w:ascii="宋体" w:hAnsi="宋体"/>
                <w:color w:val="auto"/>
                <w:highlight w:val="none"/>
              </w:rPr>
              <w:t>SetFile、DeleteFile为客户端可选服务。</w:t>
            </w:r>
          </w:p>
        </w:tc>
      </w:tr>
    </w:tbl>
    <w:p>
      <w:pPr>
        <w:pStyle w:val="93"/>
        <w:ind w:firstLine="0" w:firstLineChars="0"/>
        <w:rPr>
          <w:rFonts w:eastAsia="Times New Roman"/>
          <w:color w:val="auto"/>
          <w:highlight w:val="none"/>
        </w:rPr>
      </w:pPr>
    </w:p>
    <w:p>
      <w:pPr>
        <w:spacing w:before="156" w:beforeLines="50" w:after="156" w:afterLines="50"/>
        <w:ind w:left="992" w:hanging="992"/>
        <w:jc w:val="center"/>
        <w:outlineLvl w:val="1"/>
        <w:rPr>
          <w:rFonts w:ascii="宋体" w:hAnsi="宋体"/>
          <w:b/>
          <w:color w:val="auto"/>
          <w:sz w:val="24"/>
          <w:szCs w:val="21"/>
          <w:highlight w:val="none"/>
        </w:rPr>
      </w:pPr>
      <w:r>
        <w:rPr>
          <w:rFonts w:ascii="宋体" w:hAnsi="宋体"/>
          <w:b/>
          <w:color w:val="auto"/>
          <w:sz w:val="24"/>
          <w:szCs w:val="21"/>
          <w:highlight w:val="none"/>
        </w:rPr>
        <w:br w:type="page"/>
      </w:r>
      <w:bookmarkStart w:id="323" w:name="_Toc484019016"/>
      <w:bookmarkStart w:id="324" w:name="_Toc49258192"/>
      <w:bookmarkStart w:id="325" w:name="_Toc528273632"/>
      <w:r>
        <w:rPr>
          <w:rFonts w:hint="eastAsia" w:ascii="宋体" w:hAnsi="宋体"/>
          <w:b/>
          <w:color w:val="auto"/>
          <w:sz w:val="24"/>
          <w:szCs w:val="21"/>
          <w:highlight w:val="none"/>
        </w:rPr>
        <w:t>附录</w:t>
      </w:r>
      <w:r>
        <w:rPr>
          <w:rFonts w:ascii="宋体" w:hAnsi="宋体"/>
          <w:b/>
          <w:color w:val="auto"/>
          <w:sz w:val="24"/>
          <w:szCs w:val="21"/>
          <w:highlight w:val="none"/>
        </w:rPr>
        <w:t>B</w:t>
      </w:r>
      <w:r>
        <w:rPr>
          <w:rFonts w:hint="eastAsia" w:ascii="宋体" w:hAnsi="宋体"/>
          <w:b/>
          <w:color w:val="auto"/>
          <w:sz w:val="24"/>
          <w:szCs w:val="21"/>
          <w:highlight w:val="none"/>
        </w:rPr>
        <w:t xml:space="preserve"> MMS服务器</w:t>
      </w:r>
      <w:r>
        <w:rPr>
          <w:rFonts w:ascii="宋体" w:hAnsi="宋体"/>
          <w:b/>
          <w:color w:val="auto"/>
          <w:sz w:val="24"/>
          <w:szCs w:val="21"/>
          <w:highlight w:val="none"/>
        </w:rPr>
        <w:t>一致性</w:t>
      </w:r>
      <w:r>
        <w:rPr>
          <w:rFonts w:hint="eastAsia" w:ascii="宋体" w:hAnsi="宋体"/>
          <w:b/>
          <w:color w:val="auto"/>
          <w:sz w:val="24"/>
          <w:szCs w:val="21"/>
          <w:highlight w:val="none"/>
        </w:rPr>
        <w:t>检验</w:t>
      </w:r>
      <w:bookmarkEnd w:id="323"/>
      <w:bookmarkEnd w:id="324"/>
      <w:bookmarkEnd w:id="325"/>
    </w:p>
    <w:p>
      <w:pPr>
        <w:jc w:val="center"/>
        <w:rPr>
          <w:color w:val="auto"/>
          <w:highlight w:val="none"/>
        </w:rPr>
      </w:pPr>
      <w:r>
        <w:rPr>
          <w:color w:val="auto"/>
          <w:highlight w:val="none"/>
        </w:rPr>
        <w:t>（资料性附录）</w:t>
      </w:r>
    </w:p>
    <w:p>
      <w:pPr>
        <w:outlineLvl w:val="2"/>
        <w:rPr>
          <w:color w:val="auto"/>
          <w:highlight w:val="none"/>
        </w:rPr>
      </w:pPr>
      <w:bookmarkStart w:id="326" w:name="_Toc484019017"/>
      <w:bookmarkStart w:id="327" w:name="_Toc528273633"/>
      <w:bookmarkStart w:id="328" w:name="_Toc434055585"/>
      <w:bookmarkStart w:id="329" w:name="_Toc434056628"/>
      <w:r>
        <w:rPr>
          <w:color w:val="auto"/>
          <w:highlight w:val="none"/>
        </w:rPr>
        <w:t>B</w:t>
      </w:r>
      <w:r>
        <w:rPr>
          <w:rFonts w:hint="eastAsia"/>
          <w:color w:val="auto"/>
          <w:highlight w:val="none"/>
        </w:rPr>
        <w:t xml:space="preserve">.1 </w:t>
      </w:r>
      <w:r>
        <w:rPr>
          <w:color w:val="auto"/>
          <w:highlight w:val="none"/>
        </w:rPr>
        <w:t>文档和版本控制 (DL/T 860.4)</w:t>
      </w:r>
      <w:bookmarkEnd w:id="326"/>
      <w:bookmarkEnd w:id="327"/>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文档和版本控制</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Temp-Ser01</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 860.4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1．被测装置实际情况的陈述文件PICS、MICS 和PIXIT ，应与DUT 的硬件或软件版本相符</w:t>
            </w:r>
          </w:p>
          <w:p>
            <w:pPr>
              <w:rPr>
                <w:color w:val="auto"/>
                <w:highlight w:val="none"/>
              </w:rPr>
            </w:pPr>
            <w:r>
              <w:rPr>
                <w:rFonts w:hint="eastAsia"/>
                <w:color w:val="auto"/>
                <w:highlight w:val="none"/>
              </w:rPr>
              <w:t>2．MICS应描述了非标准的逻辑节点、数据对象、数据属性和枚举类的语义</w:t>
            </w:r>
          </w:p>
          <w:p>
            <w:pPr>
              <w:rPr>
                <w:color w:val="auto"/>
                <w:highlight w:val="none"/>
              </w:rPr>
            </w:pPr>
            <w:r>
              <w:rPr>
                <w:rFonts w:hint="eastAsia"/>
                <w:color w:val="auto"/>
                <w:highlight w:val="none"/>
              </w:rPr>
              <w:t>3．PIXIT文档中包含的条目项应来源于PIXIT模版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1．制造商的PICS，MICS 和PIXIT 文件与DUT的硬件或软件版本应相符：</w:t>
            </w:r>
          </w:p>
          <w:p>
            <w:pPr>
              <w:rPr>
                <w:color w:val="auto"/>
                <w:highlight w:val="none"/>
              </w:rPr>
            </w:pPr>
            <w:r>
              <w:rPr>
                <w:rFonts w:hint="eastAsia"/>
                <w:color w:val="auto"/>
                <w:highlight w:val="none"/>
              </w:rPr>
              <w:t>PICS</w:t>
            </w:r>
          </w:p>
          <w:p>
            <w:pPr>
              <w:rPr>
                <w:color w:val="auto"/>
                <w:highlight w:val="none"/>
              </w:rPr>
            </w:pPr>
            <w:r>
              <w:rPr>
                <w:rFonts w:hint="eastAsia"/>
                <w:color w:val="auto"/>
                <w:highlight w:val="none"/>
              </w:rPr>
              <w:t>MICS</w:t>
            </w:r>
          </w:p>
          <w:p>
            <w:pPr>
              <w:rPr>
                <w:color w:val="auto"/>
                <w:highlight w:val="none"/>
              </w:rPr>
            </w:pPr>
            <w:r>
              <w:rPr>
                <w:rFonts w:hint="eastAsia"/>
                <w:color w:val="auto"/>
                <w:highlight w:val="none"/>
              </w:rPr>
              <w:t>PIXIT</w:t>
            </w:r>
          </w:p>
          <w:p>
            <w:pPr>
              <w:rPr>
                <w:color w:val="auto"/>
                <w:highlight w:val="none"/>
              </w:rPr>
            </w:pPr>
            <w:r>
              <w:rPr>
                <w:rFonts w:hint="eastAsia"/>
                <w:color w:val="auto"/>
                <w:highlight w:val="none"/>
              </w:rPr>
              <w:t>TICS</w:t>
            </w:r>
          </w:p>
          <w:p>
            <w:pPr>
              <w:rPr>
                <w:color w:val="auto"/>
                <w:highlight w:val="none"/>
              </w:rPr>
            </w:pPr>
            <w:r>
              <w:rPr>
                <w:rFonts w:hint="eastAsia"/>
                <w:color w:val="auto"/>
                <w:highlight w:val="none"/>
              </w:rPr>
              <w:t>硬件或软件版本相符</w:t>
            </w:r>
          </w:p>
          <w:p>
            <w:pPr>
              <w:rPr>
                <w:color w:val="auto"/>
                <w:highlight w:val="none"/>
              </w:rPr>
            </w:pPr>
            <w:r>
              <w:rPr>
                <w:rFonts w:hint="eastAsia"/>
                <w:color w:val="auto"/>
                <w:highlight w:val="none"/>
              </w:rPr>
              <w:t>2．MICS应描述了非标准的逻辑节点、数据对象、数据属性和枚举类的语义</w:t>
            </w:r>
          </w:p>
          <w:p>
            <w:pPr>
              <w:rPr>
                <w:color w:val="auto"/>
                <w:highlight w:val="none"/>
              </w:rPr>
            </w:pPr>
            <w:r>
              <w:rPr>
                <w:rFonts w:hint="eastAsia"/>
                <w:color w:val="auto"/>
                <w:highlight w:val="none"/>
              </w:rPr>
              <w:t>3．PIXIT文档中包含的条目项应来源于PIXIT模版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1．检查是否制造商的PICS，MICS 和PIXIT 文件与DUT的硬件或软件版本相符：</w:t>
            </w:r>
          </w:p>
          <w:p>
            <w:pPr>
              <w:rPr>
                <w:color w:val="auto"/>
                <w:highlight w:val="none"/>
              </w:rPr>
            </w:pPr>
            <w:r>
              <w:rPr>
                <w:rFonts w:hint="eastAsia"/>
                <w:color w:val="auto"/>
                <w:highlight w:val="none"/>
              </w:rPr>
              <w:t>PICS</w:t>
            </w:r>
          </w:p>
          <w:p>
            <w:pPr>
              <w:rPr>
                <w:color w:val="auto"/>
                <w:highlight w:val="none"/>
              </w:rPr>
            </w:pPr>
            <w:r>
              <w:rPr>
                <w:rFonts w:hint="eastAsia"/>
                <w:color w:val="auto"/>
                <w:highlight w:val="none"/>
              </w:rPr>
              <w:t>MICS</w:t>
            </w:r>
          </w:p>
          <w:p>
            <w:pPr>
              <w:rPr>
                <w:color w:val="auto"/>
                <w:highlight w:val="none"/>
              </w:rPr>
            </w:pPr>
            <w:r>
              <w:rPr>
                <w:rFonts w:hint="eastAsia"/>
                <w:color w:val="auto"/>
                <w:highlight w:val="none"/>
              </w:rPr>
              <w:t>PIXIT</w:t>
            </w:r>
          </w:p>
          <w:p>
            <w:pPr>
              <w:rPr>
                <w:color w:val="auto"/>
                <w:highlight w:val="none"/>
              </w:rPr>
            </w:pPr>
            <w:r>
              <w:rPr>
                <w:rFonts w:hint="eastAsia"/>
                <w:color w:val="auto"/>
                <w:highlight w:val="none"/>
              </w:rPr>
              <w:t>TICS</w:t>
            </w:r>
          </w:p>
          <w:p>
            <w:pPr>
              <w:rPr>
                <w:color w:val="auto"/>
                <w:highlight w:val="none"/>
              </w:rPr>
            </w:pPr>
            <w:r>
              <w:rPr>
                <w:rFonts w:hint="eastAsia"/>
                <w:color w:val="auto"/>
                <w:highlight w:val="none"/>
              </w:rPr>
              <w:t>硬件或软件版本相符</w:t>
            </w:r>
          </w:p>
          <w:p>
            <w:pPr>
              <w:rPr>
                <w:color w:val="auto"/>
                <w:highlight w:val="none"/>
              </w:rPr>
            </w:pPr>
            <w:r>
              <w:rPr>
                <w:rFonts w:hint="eastAsia"/>
                <w:color w:val="auto"/>
                <w:highlight w:val="none"/>
              </w:rPr>
              <w:t>2．检查MICS是否描述了非标准的逻辑节点、数据对象、数据属性和枚举类语义</w:t>
            </w:r>
          </w:p>
          <w:p>
            <w:pPr>
              <w:rPr>
                <w:color w:val="auto"/>
                <w:highlight w:val="none"/>
              </w:rPr>
            </w:pPr>
            <w:r>
              <w:rPr>
                <w:rFonts w:hint="eastAsia"/>
                <w:color w:val="auto"/>
                <w:highlight w:val="none"/>
              </w:rPr>
              <w:t>3．检查制造商提供的PIXIT文档中包含的条目项来源于PIXIT模版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30" w:name="_Toc484019018"/>
      <w:bookmarkStart w:id="331" w:name="_Toc528273634"/>
      <w:r>
        <w:rPr>
          <w:color w:val="auto"/>
          <w:highlight w:val="none"/>
        </w:rPr>
        <w:t>B</w:t>
      </w:r>
      <w:r>
        <w:rPr>
          <w:rFonts w:hint="eastAsia"/>
          <w:color w:val="auto"/>
          <w:highlight w:val="none"/>
        </w:rPr>
        <w:t xml:space="preserve">.2 </w:t>
      </w:r>
      <w:r>
        <w:rPr>
          <w:color w:val="auto"/>
          <w:highlight w:val="none"/>
        </w:rPr>
        <w:t>配置文件 (DL/T 860.6)</w:t>
      </w:r>
      <w:bookmarkEnd w:id="330"/>
      <w:bookmarkEnd w:id="33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配置文件检查</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Temp-Ser02</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 860.6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被测装置的配置文件应符合标准要求。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1．被测装置ICD 配置文件是与SCL文件类型定义(schema version 1.7)一致（DL/T 860.6）；</w:t>
            </w:r>
          </w:p>
          <w:p>
            <w:pPr>
              <w:rPr>
                <w:color w:val="auto"/>
                <w:highlight w:val="none"/>
              </w:rPr>
            </w:pPr>
            <w:r>
              <w:rPr>
                <w:rFonts w:hint="eastAsia"/>
                <w:color w:val="auto"/>
                <w:highlight w:val="none"/>
              </w:rPr>
              <w:t>2．被测装置ICD 配置文件是与在线实际获取地DUT数据命名、数据类型、数据集、预定义的数据初值相一致；</w:t>
            </w:r>
          </w:p>
          <w:p>
            <w:pPr>
              <w:rPr>
                <w:color w:val="auto"/>
                <w:highlight w:val="none"/>
              </w:rPr>
            </w:pPr>
            <w:r>
              <w:rPr>
                <w:rFonts w:hint="eastAsia"/>
                <w:color w:val="auto"/>
                <w:highlight w:val="none"/>
              </w:rPr>
              <w:t>3．被测装置应能成功生效配置后的SCD文件，在线获取值应与配置参数一致；</w:t>
            </w:r>
          </w:p>
          <w:p>
            <w:pPr>
              <w:rPr>
                <w:color w:val="auto"/>
                <w:highlight w:val="none"/>
              </w:rPr>
            </w:pPr>
            <w:r>
              <w:rPr>
                <w:rFonts w:hint="eastAsia"/>
                <w:color w:val="auto"/>
                <w:highlight w:val="none"/>
              </w:rPr>
              <w:t>4．被测装置ICD配置文件中“services”一节是与IED的实际能力相符合</w:t>
            </w:r>
          </w:p>
          <w:p>
            <w:pPr>
              <w:rPr>
                <w:color w:val="auto"/>
                <w:highlight w:val="none"/>
              </w:rPr>
            </w:pPr>
            <w:r>
              <w:rPr>
                <w:rFonts w:hint="eastAsia"/>
                <w:color w:val="auto"/>
                <w:highlight w:val="none"/>
              </w:rPr>
              <w:t>5．被测装置ICD配置文件应正确地初始化所有可控对象的ctlModel值</w:t>
            </w:r>
          </w:p>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1．检查ICD 配置文件是否与SCL 文件类型定义(schema version 1.7)一致（DL/T 860.6）；</w:t>
            </w:r>
          </w:p>
          <w:p>
            <w:pPr>
              <w:rPr>
                <w:color w:val="auto"/>
                <w:highlight w:val="none"/>
              </w:rPr>
            </w:pPr>
            <w:r>
              <w:rPr>
                <w:rFonts w:hint="eastAsia"/>
                <w:color w:val="auto"/>
                <w:highlight w:val="none"/>
              </w:rPr>
              <w:t>2．检查ICD 配置文件是否与在线实际获取地DUT数据命名、数据类型、数据集、预定义的数据初值相一致；</w:t>
            </w:r>
          </w:p>
          <w:p>
            <w:pPr>
              <w:rPr>
                <w:color w:val="auto"/>
                <w:highlight w:val="none"/>
              </w:rPr>
            </w:pPr>
            <w:r>
              <w:rPr>
                <w:rFonts w:hint="eastAsia"/>
                <w:color w:val="auto"/>
                <w:highlight w:val="none"/>
              </w:rPr>
              <w:t>3．在SCD 配置文件中，改变至少5个可以在线获取的配置参数，使用制造商提供的配置工具将修改后的SCD文件配置进DUT中，然后使用在线服务获取DUT中的配置参数是否与SCD文件中一致进行更新；恢复原始的SCD 文件，重新配置DUT 为初始状态，检查DUT中配置参数应能返回为初始值；</w:t>
            </w:r>
          </w:p>
          <w:p>
            <w:pPr>
              <w:rPr>
                <w:color w:val="auto"/>
                <w:highlight w:val="none"/>
              </w:rPr>
            </w:pPr>
            <w:r>
              <w:rPr>
                <w:rFonts w:hint="eastAsia"/>
                <w:color w:val="auto"/>
                <w:highlight w:val="none"/>
              </w:rPr>
              <w:t>4．检查DUT的ICD配置文件中“services”一节是否与IED的实际能力相符合；</w:t>
            </w:r>
          </w:p>
          <w:p>
            <w:pPr>
              <w:rPr>
                <w:color w:val="auto"/>
                <w:highlight w:val="none"/>
              </w:rPr>
            </w:pPr>
            <w:r>
              <w:rPr>
                <w:rFonts w:hint="eastAsia"/>
                <w:color w:val="auto"/>
                <w:highlight w:val="none"/>
              </w:rPr>
              <w:t>5．如果控制模型是固定（不可配置）的，检查ICD配置文件是否正确地初始化所有可控对象的ctlModel值；</w:t>
            </w:r>
          </w:p>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32" w:name="_Toc528273635"/>
      <w:bookmarkStart w:id="333" w:name="_Toc484019019"/>
      <w:r>
        <w:rPr>
          <w:rFonts w:hint="eastAsia"/>
          <w:color w:val="auto"/>
          <w:highlight w:val="none"/>
        </w:rPr>
        <w:t xml:space="preserve">B.3 </w:t>
      </w:r>
      <w:r>
        <w:rPr>
          <w:color w:val="auto"/>
          <w:highlight w:val="none"/>
        </w:rPr>
        <w:t>数据模型 (DL/T 860.73 和 DL/T 860.74)</w:t>
      </w:r>
      <w:bookmarkEnd w:id="332"/>
      <w:bookmarkEnd w:id="333"/>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数据模型检查</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Temp-Ser03</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 860.73</w:t>
            </w:r>
            <w:r>
              <w:rPr>
                <w:rFonts w:hint="eastAsia"/>
                <w:color w:val="auto"/>
                <w:highlight w:val="none"/>
              </w:rPr>
              <w:t>和</w:t>
            </w:r>
            <w:r>
              <w:rPr>
                <w:color w:val="auto"/>
                <w:highlight w:val="none"/>
              </w:rPr>
              <w:t>DL/T 860.74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被测装置的数据模型应符合标准要求。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1．被测装置每个LN的强制数据对象都存在；</w:t>
            </w:r>
          </w:p>
          <w:p>
            <w:pPr>
              <w:rPr>
                <w:color w:val="auto"/>
                <w:highlight w:val="none"/>
              </w:rPr>
            </w:pPr>
            <w:r>
              <w:rPr>
                <w:rFonts w:hint="eastAsia"/>
                <w:color w:val="auto"/>
                <w:highlight w:val="none"/>
              </w:rPr>
              <w:t>2．被测装置每个LN的存在条件为TRUE的有条件存在数据对象都存在；</w:t>
            </w:r>
          </w:p>
          <w:p>
            <w:pPr>
              <w:rPr>
                <w:color w:val="auto"/>
                <w:highlight w:val="none"/>
              </w:rPr>
            </w:pPr>
            <w:r>
              <w:rPr>
                <w:rFonts w:hint="eastAsia"/>
                <w:color w:val="auto"/>
                <w:highlight w:val="none"/>
              </w:rPr>
              <w:t>3．被测装置每个LN的存在条件为False的有条件存在数据对象不存在</w:t>
            </w:r>
          </w:p>
          <w:p>
            <w:pPr>
              <w:rPr>
                <w:color w:val="auto"/>
                <w:highlight w:val="none"/>
              </w:rPr>
            </w:pPr>
            <w:r>
              <w:rPr>
                <w:rFonts w:hint="eastAsia"/>
                <w:color w:val="auto"/>
                <w:highlight w:val="none"/>
              </w:rPr>
              <w:t>4．被测装置数据模型应按照SCSM相关的命名长度和对象扩展原则进行映射；</w:t>
            </w:r>
          </w:p>
          <w:p>
            <w:pPr>
              <w:rPr>
                <w:color w:val="auto"/>
                <w:highlight w:val="none"/>
              </w:rPr>
            </w:pPr>
            <w:r>
              <w:rPr>
                <w:rFonts w:hint="eastAsia"/>
                <w:color w:val="auto"/>
                <w:highlight w:val="none"/>
              </w:rPr>
              <w:t>5．被测装置数据模型应按照SCSM相关的功能组件进行组织；</w:t>
            </w:r>
          </w:p>
          <w:p>
            <w:pPr>
              <w:rPr>
                <w:color w:val="auto"/>
                <w:highlight w:val="none"/>
              </w:rPr>
            </w:pPr>
            <w:r>
              <w:rPr>
                <w:rFonts w:hint="eastAsia"/>
                <w:color w:val="auto"/>
                <w:highlight w:val="none"/>
              </w:rPr>
              <w:t>6. 被测装置数据模型应按照SCSM相关的控制块和日志命名原则进行映射；</w:t>
            </w:r>
          </w:p>
          <w:p>
            <w:pPr>
              <w:rPr>
                <w:color w:val="auto"/>
                <w:highlight w:val="none"/>
              </w:rPr>
            </w:pPr>
            <w:r>
              <w:rPr>
                <w:rFonts w:hint="eastAsia"/>
                <w:color w:val="auto"/>
                <w:highlight w:val="none"/>
              </w:rPr>
              <w:t>7. 被测装置所有数据数据对象和数据属性的数据类型应满足DL/T 860.73、DL/T 860.74和SCSM的要求；</w:t>
            </w:r>
          </w:p>
          <w:p>
            <w:pPr>
              <w:rPr>
                <w:color w:val="auto"/>
                <w:highlight w:val="none"/>
              </w:rPr>
            </w:pPr>
            <w:r>
              <w:rPr>
                <w:rFonts w:hint="eastAsia"/>
                <w:color w:val="auto"/>
                <w:highlight w:val="none"/>
              </w:rPr>
              <w:t>8．被测装置的数据属性值应在规定范围内；</w:t>
            </w:r>
          </w:p>
          <w:p>
            <w:pPr>
              <w:rPr>
                <w:color w:val="auto"/>
                <w:highlight w:val="none"/>
              </w:rPr>
            </w:pPr>
            <w:r>
              <w:rPr>
                <w:rFonts w:hint="eastAsia"/>
                <w:color w:val="auto"/>
                <w:highlight w:val="none"/>
              </w:rPr>
              <w:t>9. 被测装置的数据模型扩展应按照DL/T 860.74 附录A的扩展原则实施；</w:t>
            </w:r>
          </w:p>
          <w:p>
            <w:pPr>
              <w:rPr>
                <w:color w:val="auto"/>
                <w:highlight w:val="none"/>
              </w:rPr>
            </w:pPr>
            <w:r>
              <w:rPr>
                <w:rFonts w:hint="eastAsia"/>
                <w:color w:val="auto"/>
                <w:highlight w:val="none"/>
              </w:rPr>
              <w:t>10. 被测装置的数据对象类型的数据属性应按照DL/T 860.73排序；</w:t>
            </w:r>
          </w:p>
          <w:p>
            <w:pPr>
              <w:rPr>
                <w:color w:val="auto"/>
                <w:highlight w:val="none"/>
              </w:rPr>
            </w:pPr>
            <w:r>
              <w:rPr>
                <w:rFonts w:hint="eastAsia"/>
                <w:color w:val="auto"/>
                <w:highlight w:val="none"/>
              </w:rPr>
              <w:t>11. 被测装置的逻辑节点类型的数据对象应按照DL/T 860.74排序;</w:t>
            </w:r>
          </w:p>
          <w:p>
            <w:pPr>
              <w:rPr>
                <w:color w:val="auto"/>
                <w:highlight w:val="none"/>
              </w:rPr>
            </w:pPr>
            <w:r>
              <w:rPr>
                <w:rFonts w:hint="eastAsia"/>
                <w:color w:val="auto"/>
                <w:highlight w:val="none"/>
              </w:rPr>
              <w:t>12．被测装置的数据模型正确扩展使用标准第二版规定的数据类型。</w:t>
            </w:r>
          </w:p>
          <w:p>
            <w:pPr>
              <w:rPr>
                <w:color w:val="auto"/>
                <w:highlight w:val="none"/>
              </w:rPr>
            </w:pPr>
            <w:r>
              <w:rPr>
                <w:rFonts w:hint="eastAsia"/>
                <w:color w:val="auto"/>
                <w:highlight w:val="none"/>
              </w:rPr>
              <w:t>a) 采用61850第一版标准的装置的数据建模应满足以下要求，</w:t>
            </w:r>
          </w:p>
          <w:p>
            <w:pPr>
              <w:rPr>
                <w:color w:val="auto"/>
                <w:highlight w:val="none"/>
              </w:rPr>
            </w:pPr>
            <w:r>
              <w:rPr>
                <w:color w:val="auto"/>
                <w:highlight w:val="none"/>
              </w:rPr>
              <w:t>引用第二版LN时，应使用第一版7-3中定义的CDC类型</w:t>
            </w:r>
          </w:p>
          <w:p>
            <w:pPr>
              <w:rPr>
                <w:color w:val="auto"/>
                <w:highlight w:val="none"/>
              </w:rPr>
            </w:pPr>
            <w:r>
              <w:rPr>
                <w:color w:val="auto"/>
                <w:highlight w:val="none"/>
              </w:rPr>
              <w:t>使用INS/INC/ING来替换使用ENS/ENC/ENG</w:t>
            </w:r>
          </w:p>
          <w:p>
            <w:pPr>
              <w:rPr>
                <w:color w:val="auto"/>
                <w:highlight w:val="none"/>
              </w:rPr>
            </w:pPr>
            <w:r>
              <w:rPr>
                <w:color w:val="auto"/>
                <w:highlight w:val="none"/>
              </w:rPr>
              <w:t>不使用第二版7-3中定义的CDC，如VSS, VSG, TSG 和ORG</w:t>
            </w:r>
          </w:p>
          <w:p>
            <w:pPr>
              <w:rPr>
                <w:color w:val="auto"/>
                <w:highlight w:val="none"/>
              </w:rPr>
            </w:pPr>
            <w:r>
              <w:rPr>
                <w:color w:val="auto"/>
                <w:highlight w:val="none"/>
              </w:rPr>
              <w:t>仅能使用第一版8-1中定义的基本数据类型</w:t>
            </w:r>
          </w:p>
          <w:p>
            <w:pPr>
              <w:rPr>
                <w:color w:val="auto"/>
                <w:highlight w:val="none"/>
              </w:rPr>
            </w:pPr>
            <w:r>
              <w:rPr>
                <w:rFonts w:hint="eastAsia"/>
                <w:color w:val="auto"/>
                <w:highlight w:val="none"/>
              </w:rPr>
              <w:t>b) 命名空间使用方法如下，</w:t>
            </w:r>
          </w:p>
          <w:p>
            <w:pPr>
              <w:rPr>
                <w:color w:val="auto"/>
                <w:highlight w:val="none"/>
              </w:rPr>
            </w:pPr>
            <w:r>
              <w:rPr>
                <w:color w:val="auto"/>
                <w:highlight w:val="none"/>
              </w:rPr>
              <w:t>ldNs = IEC 61850-7-4:2003</w:t>
            </w:r>
          </w:p>
          <w:p>
            <w:pPr>
              <w:rPr>
                <w:color w:val="auto"/>
                <w:highlight w:val="none"/>
              </w:rPr>
            </w:pPr>
            <w:r>
              <w:rPr>
                <w:color w:val="auto"/>
                <w:highlight w:val="none"/>
              </w:rPr>
              <w:t>第一版LN无需声明lnNs</w:t>
            </w:r>
          </w:p>
          <w:p>
            <w:pPr>
              <w:rPr>
                <w:color w:val="auto"/>
                <w:highlight w:val="none"/>
              </w:rPr>
            </w:pPr>
            <w:r>
              <w:rPr>
                <w:color w:val="auto"/>
                <w:highlight w:val="none"/>
              </w:rPr>
              <w:t>第一版LN需声明lnNs = IEC 61850-7-4:2007</w:t>
            </w:r>
          </w:p>
          <w:p>
            <w:pPr>
              <w:rPr>
                <w:color w:val="auto"/>
                <w:highlight w:val="none"/>
              </w:rPr>
            </w:pPr>
            <w:r>
              <w:rPr>
                <w:rFonts w:hint="eastAsia"/>
                <w:color w:val="auto"/>
                <w:highlight w:val="none"/>
              </w:rPr>
              <w:t>c) DO的展示顺序，</w:t>
            </w:r>
          </w:p>
          <w:p>
            <w:pPr>
              <w:rPr>
                <w:color w:val="auto"/>
                <w:highlight w:val="none"/>
              </w:rPr>
            </w:pPr>
            <w:r>
              <w:rPr>
                <w:color w:val="auto"/>
                <w:highlight w:val="none"/>
              </w:rPr>
              <w:t>第一版LN应根据一版标准规定包含所有强制DO</w:t>
            </w:r>
          </w:p>
          <w:p>
            <w:pPr>
              <w:rPr>
                <w:color w:val="auto"/>
                <w:highlight w:val="none"/>
              </w:rPr>
            </w:pPr>
            <w:r>
              <w:rPr>
                <w:color w:val="auto"/>
                <w:highlight w:val="none"/>
              </w:rPr>
              <w:t>第二版LN应根据二版标准规定包含所有强制DO</w:t>
            </w:r>
          </w:p>
          <w:p>
            <w:pPr>
              <w:rPr>
                <w:color w:val="auto"/>
                <w:highlight w:val="none"/>
              </w:rPr>
            </w:pPr>
            <w:r>
              <w:rPr>
                <w:color w:val="auto"/>
                <w:highlight w:val="none"/>
              </w:rPr>
              <w:t>第一版LN包含的DO应根据一版标准规定排序</w:t>
            </w:r>
          </w:p>
          <w:p>
            <w:pPr>
              <w:rPr>
                <w:color w:val="auto"/>
                <w:highlight w:val="none"/>
              </w:rPr>
            </w:pPr>
            <w:r>
              <w:rPr>
                <w:color w:val="auto"/>
                <w:highlight w:val="none"/>
              </w:rPr>
              <w:t>第二版LN包含的DO顺序不再要求和检查</w:t>
            </w:r>
          </w:p>
          <w:p>
            <w:pPr>
              <w:rPr>
                <w:color w:val="auto"/>
                <w:highlight w:val="none"/>
              </w:rPr>
            </w:pPr>
            <w:r>
              <w:rPr>
                <w:rFonts w:hint="eastAsia"/>
                <w:color w:val="auto"/>
                <w:highlight w:val="none"/>
              </w:rPr>
              <w:t>d) dataNs的使用方法如下，</w:t>
            </w:r>
          </w:p>
          <w:p>
            <w:pPr>
              <w:rPr>
                <w:color w:val="auto"/>
                <w:highlight w:val="none"/>
              </w:rPr>
            </w:pPr>
            <w:r>
              <w:rPr>
                <w:color w:val="auto"/>
                <w:highlight w:val="none"/>
              </w:rPr>
              <w:t>第一版和第二版LN中的私有扩展DO均应声明dataNs属性值</w:t>
            </w:r>
          </w:p>
          <w:p>
            <w:pPr>
              <w:rPr>
                <w:color w:val="auto"/>
                <w:highlight w:val="none"/>
              </w:rPr>
            </w:pPr>
            <w:r>
              <w:rPr>
                <w:color w:val="auto"/>
                <w:highlight w:val="none"/>
              </w:rPr>
              <w:t>私有扩展LN中的私有扩展DO无需声明dataNs属性值</w:t>
            </w:r>
          </w:p>
          <w:p>
            <w:pPr>
              <w:rPr>
                <w:color w:val="auto"/>
                <w:highlight w:val="none"/>
              </w:rPr>
            </w:pPr>
            <w:r>
              <w:rPr>
                <w:color w:val="auto"/>
                <w:highlight w:val="none"/>
              </w:rPr>
              <w:t>第一版标准中的LN引用第一版标准中规定的DO无需声明dataNs属性值</w:t>
            </w:r>
          </w:p>
          <w:p>
            <w:pPr>
              <w:rPr>
                <w:color w:val="auto"/>
                <w:highlight w:val="none"/>
              </w:rPr>
            </w:pPr>
            <w:r>
              <w:rPr>
                <w:color w:val="auto"/>
                <w:highlight w:val="none"/>
              </w:rPr>
              <w:t>第一版标准中的LN引用第二版标准中规定的DO需声明dataNs属性值“IEC 61850-7-4:2007”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1．检验每个LN的强制数据对象都存在</w:t>
            </w:r>
          </w:p>
          <w:p>
            <w:pPr>
              <w:rPr>
                <w:color w:val="auto"/>
                <w:highlight w:val="none"/>
              </w:rPr>
            </w:pPr>
            <w:r>
              <w:rPr>
                <w:rFonts w:hint="eastAsia"/>
                <w:color w:val="auto"/>
                <w:highlight w:val="none"/>
              </w:rPr>
              <w:t>2．检查每个LN的存在条件为TRUE的有条件存在数据对象是否存在</w:t>
            </w:r>
          </w:p>
          <w:p>
            <w:pPr>
              <w:rPr>
                <w:color w:val="auto"/>
                <w:highlight w:val="none"/>
              </w:rPr>
            </w:pPr>
            <w:r>
              <w:rPr>
                <w:rFonts w:hint="eastAsia"/>
                <w:color w:val="auto"/>
                <w:highlight w:val="none"/>
              </w:rPr>
              <w:t>3．检查每个LN的存在条件为False的有条件存在数据对象是否存在</w:t>
            </w:r>
          </w:p>
          <w:p>
            <w:pPr>
              <w:rPr>
                <w:color w:val="auto"/>
                <w:highlight w:val="none"/>
              </w:rPr>
            </w:pPr>
            <w:r>
              <w:rPr>
                <w:rFonts w:hint="eastAsia"/>
                <w:color w:val="auto"/>
                <w:highlight w:val="none"/>
              </w:rPr>
              <w:t>4．检查数据模型应按照SCSM相关的命名长度和对象扩展原则进行映射</w:t>
            </w:r>
          </w:p>
          <w:p>
            <w:pPr>
              <w:rPr>
                <w:color w:val="auto"/>
                <w:highlight w:val="none"/>
              </w:rPr>
            </w:pPr>
            <w:r>
              <w:rPr>
                <w:rFonts w:hint="eastAsia"/>
                <w:color w:val="auto"/>
                <w:highlight w:val="none"/>
              </w:rPr>
              <w:t>5．检查数据模型是否按照SCSM相关的功能组件进行组织</w:t>
            </w:r>
          </w:p>
          <w:p>
            <w:pPr>
              <w:rPr>
                <w:color w:val="auto"/>
                <w:highlight w:val="none"/>
              </w:rPr>
            </w:pPr>
            <w:r>
              <w:rPr>
                <w:rFonts w:hint="eastAsia"/>
                <w:color w:val="auto"/>
                <w:highlight w:val="none"/>
              </w:rPr>
              <w:t>6．检查数据模型是否按照SCSM相关的控制块和日志命名原则进行映射</w:t>
            </w:r>
          </w:p>
          <w:p>
            <w:pPr>
              <w:rPr>
                <w:color w:val="auto"/>
                <w:highlight w:val="none"/>
              </w:rPr>
            </w:pPr>
            <w:r>
              <w:rPr>
                <w:rFonts w:hint="eastAsia"/>
                <w:color w:val="auto"/>
                <w:highlight w:val="none"/>
              </w:rPr>
              <w:t>7．检查每个LN的所有数据对象的数据类型（参照DL/T 860.73, DL/T 860.74）</w:t>
            </w:r>
          </w:p>
          <w:p>
            <w:pPr>
              <w:rPr>
                <w:color w:val="auto"/>
                <w:highlight w:val="none"/>
              </w:rPr>
            </w:pPr>
            <w:r>
              <w:rPr>
                <w:rFonts w:hint="eastAsia"/>
                <w:color w:val="auto"/>
                <w:highlight w:val="none"/>
              </w:rPr>
              <w:t>8．检查装置的数据属性值在规定范围内（可在一致性测试中连续检查）</w:t>
            </w:r>
          </w:p>
          <w:p>
            <w:pPr>
              <w:rPr>
                <w:color w:val="auto"/>
                <w:highlight w:val="none"/>
              </w:rPr>
            </w:pPr>
            <w:r>
              <w:rPr>
                <w:rFonts w:hint="eastAsia"/>
                <w:color w:val="auto"/>
                <w:highlight w:val="none"/>
              </w:rPr>
              <w:t>9．检查制造商的数据模型扩展是否按照DL/T 860.74 附录A的扩展原则实施（如果进行了扩展）</w:t>
            </w:r>
          </w:p>
          <w:p>
            <w:pPr>
              <w:rPr>
                <w:color w:val="auto"/>
                <w:highlight w:val="none"/>
              </w:rPr>
            </w:pPr>
            <w:r>
              <w:rPr>
                <w:rFonts w:hint="eastAsia"/>
                <w:color w:val="auto"/>
                <w:highlight w:val="none"/>
              </w:rPr>
              <w:t>10．检查数据对象类型的数据属性是否按照DL/T 860.73排序</w:t>
            </w:r>
          </w:p>
          <w:p>
            <w:pPr>
              <w:rPr>
                <w:color w:val="auto"/>
                <w:highlight w:val="none"/>
              </w:rPr>
            </w:pPr>
            <w:r>
              <w:rPr>
                <w:rFonts w:hint="eastAsia"/>
                <w:color w:val="auto"/>
                <w:highlight w:val="none"/>
              </w:rPr>
              <w:t>11．检查逻辑节点类型的数据对象是否按照DL/T 860.74排序</w:t>
            </w:r>
          </w:p>
          <w:p>
            <w:pPr>
              <w:rPr>
                <w:color w:val="auto"/>
                <w:highlight w:val="none"/>
              </w:rPr>
            </w:pPr>
            <w:r>
              <w:rPr>
                <w:rFonts w:hint="eastAsia"/>
                <w:color w:val="auto"/>
                <w:highlight w:val="none"/>
              </w:rPr>
              <w:t>12．检查数据模型中采用61850第一版标准的装置正确实现第二版标准规定的数据模型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34" w:name="_Toc484019020"/>
      <w:bookmarkStart w:id="335" w:name="_Toc528273636"/>
      <w:r>
        <w:rPr>
          <w:color w:val="auto"/>
          <w:highlight w:val="none"/>
        </w:rPr>
        <w:t>B</w:t>
      </w:r>
      <w:r>
        <w:rPr>
          <w:rFonts w:hint="eastAsia"/>
          <w:color w:val="auto"/>
          <w:highlight w:val="none"/>
        </w:rPr>
        <w:t>.4 应用关联测试</w:t>
      </w:r>
      <w:bookmarkEnd w:id="328"/>
      <w:bookmarkEnd w:id="329"/>
      <w:bookmarkEnd w:id="334"/>
      <w:bookmarkEnd w:id="33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应用关联测试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Temp-Ser04</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 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DL/T860一致性测试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被测装置的应用关联符合标准要求。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1、2．建立和释放关联、异常中止关联各250次，应全部成功；</w:t>
            </w:r>
          </w:p>
          <w:p>
            <w:pPr>
              <w:rPr>
                <w:color w:val="auto"/>
                <w:highlight w:val="none"/>
              </w:rPr>
            </w:pPr>
            <w:r>
              <w:rPr>
                <w:rFonts w:hint="eastAsia"/>
                <w:color w:val="auto"/>
                <w:highlight w:val="none"/>
              </w:rPr>
              <w:t>3．装置最大支持的MMS PDUSIZE，应不小于64000字节(PIXIT As7)；</w:t>
            </w:r>
          </w:p>
          <w:p>
            <w:pPr>
              <w:rPr>
                <w:color w:val="auto"/>
                <w:highlight w:val="none"/>
              </w:rPr>
            </w:pPr>
            <w:r>
              <w:rPr>
                <w:rFonts w:hint="eastAsia"/>
                <w:color w:val="auto"/>
                <w:highlight w:val="none"/>
              </w:rPr>
              <w:t>4．装置拒绝客户端关联参数错误的关联（DL/T 860.72中的 7.4，PIXIT As5）；</w:t>
            </w:r>
          </w:p>
          <w:p>
            <w:pPr>
              <w:rPr>
                <w:color w:val="auto"/>
                <w:highlight w:val="none"/>
              </w:rPr>
            </w:pPr>
            <w:r>
              <w:rPr>
                <w:rFonts w:hint="eastAsia"/>
                <w:color w:val="auto"/>
                <w:highlight w:val="none"/>
              </w:rPr>
              <w:t>5．装置最大关联客户端数量≥16个；</w:t>
            </w:r>
          </w:p>
          <w:p>
            <w:pPr>
              <w:rPr>
                <w:color w:val="auto"/>
                <w:highlight w:val="none"/>
              </w:rPr>
            </w:pPr>
            <w:r>
              <w:rPr>
                <w:rFonts w:hint="eastAsia"/>
                <w:color w:val="auto"/>
                <w:highlight w:val="none"/>
              </w:rPr>
              <w:t>6．装置链路中断检测时间≤1分钟(PIXIT As3)。</w:t>
            </w:r>
          </w:p>
          <w:p>
            <w:pPr>
              <w:rPr>
                <w:color w:val="auto"/>
                <w:highlight w:val="none"/>
              </w:rPr>
            </w:pPr>
            <w:r>
              <w:rPr>
                <w:rFonts w:hint="eastAsia"/>
                <w:color w:val="auto"/>
                <w:highlight w:val="none"/>
              </w:rPr>
              <w:t>7．</w:t>
            </w:r>
            <w:r>
              <w:rPr>
                <w:color w:val="auto"/>
                <w:highlight w:val="none"/>
              </w:rPr>
              <w:t>装置掉电重启时间应</w:t>
            </w:r>
            <w:r>
              <w:rPr>
                <w:rFonts w:hint="eastAsia"/>
                <w:color w:val="auto"/>
                <w:highlight w:val="none"/>
              </w:rPr>
              <w:t xml:space="preserve">与PIXIT </w:t>
            </w:r>
            <w:r>
              <w:rPr>
                <w:color w:val="auto"/>
                <w:highlight w:val="none"/>
              </w:rPr>
              <w:t>As8描述一致。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1．建立和释放关联250次，应全部成功；</w:t>
            </w:r>
          </w:p>
          <w:p>
            <w:pPr>
              <w:rPr>
                <w:color w:val="auto"/>
                <w:highlight w:val="none"/>
              </w:rPr>
            </w:pPr>
            <w:r>
              <w:rPr>
                <w:rFonts w:hint="eastAsia"/>
                <w:color w:val="auto"/>
                <w:highlight w:val="none"/>
              </w:rPr>
              <w:t>2．建立和异常中止关联250次，应全部成功；</w:t>
            </w:r>
          </w:p>
          <w:p>
            <w:pPr>
              <w:rPr>
                <w:color w:val="auto"/>
                <w:highlight w:val="none"/>
              </w:rPr>
            </w:pPr>
            <w:r>
              <w:rPr>
                <w:rFonts w:hint="eastAsia"/>
                <w:color w:val="auto"/>
                <w:highlight w:val="none"/>
              </w:rPr>
              <w:t>3．验证装置最大支持的MMS PDUSIZE，应不小于64000字节(PIXIT As7)；</w:t>
            </w:r>
          </w:p>
          <w:p>
            <w:pPr>
              <w:rPr>
                <w:color w:val="auto"/>
                <w:highlight w:val="none"/>
              </w:rPr>
            </w:pPr>
            <w:r>
              <w:rPr>
                <w:rFonts w:hint="eastAsia"/>
                <w:color w:val="auto"/>
                <w:highlight w:val="none"/>
              </w:rPr>
              <w:t>4．检查客户端关联参数错误时，装置应拒绝关联（DL/T 860.72中的 7.4，PIXIT As5）；</w:t>
            </w:r>
          </w:p>
          <w:p>
            <w:pPr>
              <w:rPr>
                <w:color w:val="auto"/>
                <w:highlight w:val="none"/>
              </w:rPr>
            </w:pPr>
            <w:r>
              <w:rPr>
                <w:rFonts w:hint="eastAsia"/>
                <w:color w:val="auto"/>
                <w:highlight w:val="none"/>
              </w:rPr>
              <w:t>5．装置最大关联客户端数量≥16个(PIXIT As1)；在装置同时与最多数量的客户端成功建立应用关联时，当至少一个客户端异常终止应用关联后，装置能再次接受客户端建立应用关联的时间不应超过1分钟；</w:t>
            </w:r>
          </w:p>
          <w:p>
            <w:pPr>
              <w:rPr>
                <w:color w:val="auto"/>
                <w:highlight w:val="none"/>
              </w:rPr>
            </w:pPr>
            <w:r>
              <w:rPr>
                <w:rFonts w:hint="eastAsia"/>
                <w:color w:val="auto"/>
                <w:highlight w:val="none"/>
              </w:rPr>
              <w:t>6．装置链路中断检测时间≤1分钟(PIXIT As3)。</w:t>
            </w:r>
          </w:p>
          <w:p>
            <w:pPr>
              <w:rPr>
                <w:color w:val="auto"/>
                <w:highlight w:val="none"/>
              </w:rPr>
            </w:pPr>
            <w:r>
              <w:rPr>
                <w:color w:val="auto"/>
                <w:highlight w:val="none"/>
              </w:rPr>
              <w:t>7</w:t>
            </w:r>
            <w:r>
              <w:rPr>
                <w:rFonts w:hint="eastAsia"/>
                <w:color w:val="auto"/>
                <w:highlight w:val="none"/>
              </w:rPr>
              <w:t>．检查</w:t>
            </w:r>
            <w:r>
              <w:rPr>
                <w:color w:val="auto"/>
                <w:highlight w:val="none"/>
              </w:rPr>
              <w:t>装置掉电重启时间应</w:t>
            </w:r>
            <w:r>
              <w:rPr>
                <w:rFonts w:hint="eastAsia"/>
                <w:color w:val="auto"/>
                <w:highlight w:val="none"/>
              </w:rPr>
              <w:t xml:space="preserve">与PIXIT </w:t>
            </w:r>
            <w:r>
              <w:rPr>
                <w:color w:val="auto"/>
                <w:highlight w:val="none"/>
              </w:rPr>
              <w:t>As8描述一致。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36" w:name="_Toc528273637"/>
      <w:bookmarkStart w:id="337" w:name="_Toc484019021"/>
      <w:bookmarkStart w:id="338" w:name="_Toc383525300"/>
      <w:bookmarkStart w:id="339" w:name="_Toc393615277"/>
      <w:bookmarkStart w:id="340" w:name="_Toc367604599"/>
      <w:bookmarkStart w:id="341" w:name="_Toc434056629"/>
      <w:bookmarkStart w:id="342" w:name="_Toc396838370"/>
      <w:bookmarkStart w:id="343" w:name="_Toc434055586"/>
      <w:bookmarkStart w:id="344" w:name="_Toc355437849"/>
      <w:r>
        <w:rPr>
          <w:rFonts w:hint="eastAsia"/>
          <w:color w:val="auto"/>
          <w:highlight w:val="none"/>
        </w:rPr>
        <w:t xml:space="preserve">B.5 </w:t>
      </w:r>
      <w:r>
        <w:rPr>
          <w:color w:val="auto"/>
          <w:highlight w:val="none"/>
        </w:rPr>
        <w:t>服务器/逻辑设备/逻辑节点/数据测试</w:t>
      </w:r>
      <w:bookmarkEnd w:id="336"/>
      <w:bookmarkEnd w:id="337"/>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服务器/逻辑设备/逻辑节点/数据测试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Temp-Ser05</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 xml:space="preserve">DL/T 860.72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被测装置的服务器/逻辑设备/逻辑节点/数据符合标准要求。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对被测装置的进行服务器/逻辑设备/逻辑节点/数据相关的请求、写服务，装置应正确响应并符合标准要求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1．客户端下发GetServerDirectory（ LOGICAL-DEVICE）请求并检查被测装置响应</w:t>
            </w:r>
          </w:p>
          <w:p>
            <w:pPr>
              <w:rPr>
                <w:color w:val="auto"/>
                <w:highlight w:val="none"/>
              </w:rPr>
            </w:pPr>
            <w:r>
              <w:rPr>
                <w:rFonts w:hint="eastAsia"/>
                <w:color w:val="auto"/>
                <w:highlight w:val="none"/>
              </w:rPr>
              <w:t>（ DL/T 860.72 的6.2.2）</w:t>
            </w:r>
          </w:p>
          <w:p>
            <w:pPr>
              <w:rPr>
                <w:color w:val="auto"/>
                <w:highlight w:val="none"/>
              </w:rPr>
            </w:pPr>
            <w:r>
              <w:rPr>
                <w:rFonts w:hint="eastAsia"/>
                <w:color w:val="auto"/>
                <w:highlight w:val="none"/>
              </w:rPr>
              <w:t>2 ．对GetServerDirectory （ LOGICAL-DEVICE ）响应的每一个LD 下发Get</w:t>
            </w:r>
          </w:p>
          <w:p>
            <w:pPr>
              <w:rPr>
                <w:color w:val="auto"/>
                <w:highlight w:val="none"/>
              </w:rPr>
            </w:pPr>
            <w:r>
              <w:rPr>
                <w:rFonts w:hint="eastAsia"/>
                <w:color w:val="auto"/>
                <w:highlight w:val="none"/>
              </w:rPr>
              <w:t>LogicalDeviceDirectory 请求并检查被测装置响应（DL/T 860.72 的8.2.1）</w:t>
            </w:r>
          </w:p>
          <w:p>
            <w:pPr>
              <w:rPr>
                <w:color w:val="auto"/>
                <w:highlight w:val="none"/>
              </w:rPr>
            </w:pPr>
            <w:r>
              <w:rPr>
                <w:rFonts w:hint="eastAsia"/>
                <w:color w:val="auto"/>
                <w:highlight w:val="none"/>
              </w:rPr>
              <w:t>3 ．对GetLogicalDeviceDirectory 响应的每一个LN 下发GetLogicalNode</w:t>
            </w:r>
          </w:p>
          <w:p>
            <w:pPr>
              <w:rPr>
                <w:color w:val="auto"/>
                <w:highlight w:val="none"/>
              </w:rPr>
            </w:pPr>
            <w:r>
              <w:rPr>
                <w:rFonts w:hint="eastAsia"/>
                <w:color w:val="auto"/>
                <w:highlight w:val="none"/>
              </w:rPr>
              <w:t>Directory（DATA）请求并检查被测装置响应（DL/T 860.72 的9.2.2）</w:t>
            </w:r>
          </w:p>
          <w:p>
            <w:pPr>
              <w:rPr>
                <w:color w:val="auto"/>
                <w:highlight w:val="none"/>
              </w:rPr>
            </w:pPr>
            <w:r>
              <w:rPr>
                <w:rFonts w:hint="eastAsia"/>
                <w:color w:val="auto"/>
                <w:highlight w:val="none"/>
              </w:rPr>
              <w:t>4．对GetLogicalNodeDirectory(DATA)的响应的每一个DO 下发</w:t>
            </w:r>
          </w:p>
          <w:p>
            <w:pPr>
              <w:rPr>
                <w:color w:val="auto"/>
                <w:highlight w:val="none"/>
              </w:rPr>
            </w:pPr>
            <w:r>
              <w:rPr>
                <w:rFonts w:hint="eastAsia"/>
                <w:color w:val="auto"/>
                <w:highlight w:val="none"/>
              </w:rPr>
              <w:t>GetDataDirectory请求并检查响应（DL/T 860.72的 10.4.4）</w:t>
            </w:r>
          </w:p>
          <w:p>
            <w:pPr>
              <w:rPr>
                <w:color w:val="auto"/>
                <w:highlight w:val="none"/>
              </w:rPr>
            </w:pPr>
            <w:r>
              <w:rPr>
                <w:rFonts w:hint="eastAsia"/>
                <w:color w:val="auto"/>
                <w:highlight w:val="none"/>
              </w:rPr>
              <w:t>GetDataDefinition请求并检查响应（DL/T 860.72的 10.4.5）</w:t>
            </w:r>
          </w:p>
          <w:p>
            <w:pPr>
              <w:rPr>
                <w:color w:val="auto"/>
                <w:highlight w:val="none"/>
              </w:rPr>
            </w:pPr>
            <w:r>
              <w:rPr>
                <w:rFonts w:hint="eastAsia"/>
                <w:color w:val="auto"/>
                <w:highlight w:val="none"/>
              </w:rPr>
              <w:t>GetDataValues请求检查响应（DL/T 860.72的 10.4.2）</w:t>
            </w:r>
          </w:p>
          <w:p>
            <w:pPr>
              <w:rPr>
                <w:color w:val="auto"/>
                <w:highlight w:val="none"/>
              </w:rPr>
            </w:pPr>
            <w:r>
              <w:rPr>
                <w:rFonts w:hint="eastAsia"/>
                <w:color w:val="auto"/>
                <w:highlight w:val="none"/>
              </w:rPr>
              <w:t>5．客户端下发GetDataValues请求，读取最大数目的数据对象值，并读取</w:t>
            </w:r>
            <w:r>
              <w:rPr>
                <w:color w:val="auto"/>
                <w:highlight w:val="none"/>
              </w:rPr>
              <w:t>不</w:t>
            </w:r>
            <w:r>
              <w:rPr>
                <w:rFonts w:hint="eastAsia"/>
                <w:color w:val="auto"/>
                <w:highlight w:val="none"/>
              </w:rPr>
              <w:t>同</w:t>
            </w:r>
            <w:r>
              <w:rPr>
                <w:color w:val="auto"/>
                <w:highlight w:val="none"/>
              </w:rPr>
              <w:t>结构</w:t>
            </w:r>
            <w:r>
              <w:rPr>
                <w:rFonts w:hint="eastAsia"/>
                <w:color w:val="auto"/>
                <w:highlight w:val="none"/>
              </w:rPr>
              <w:t>复杂程度</w:t>
            </w:r>
            <w:r>
              <w:rPr>
                <w:color w:val="auto"/>
                <w:highlight w:val="none"/>
              </w:rPr>
              <w:t>的数据值</w:t>
            </w:r>
            <w:r>
              <w:rPr>
                <w:rFonts w:hint="eastAsia"/>
                <w:color w:val="auto"/>
                <w:highlight w:val="none"/>
              </w:rPr>
              <w:t>，检查被测装置响应</w:t>
            </w:r>
          </w:p>
          <w:p>
            <w:pPr>
              <w:rPr>
                <w:color w:val="auto"/>
                <w:highlight w:val="none"/>
              </w:rPr>
            </w:pPr>
            <w:r>
              <w:rPr>
                <w:rFonts w:hint="eastAsia"/>
                <w:color w:val="auto"/>
                <w:highlight w:val="none"/>
              </w:rPr>
              <w:t>6．客户端对每个可写 DATA对象下发SetDataValues请求，检查被测装置响应并验证写入值（DL/T 860.72的 10.4.2）</w:t>
            </w:r>
          </w:p>
          <w:p>
            <w:pPr>
              <w:rPr>
                <w:color w:val="auto"/>
                <w:highlight w:val="none"/>
              </w:rPr>
            </w:pPr>
            <w:r>
              <w:rPr>
                <w:rFonts w:hint="eastAsia"/>
                <w:color w:val="auto"/>
                <w:highlight w:val="none"/>
              </w:rPr>
              <w:t>7．客户端下发SetDataValues请求，写入最大数目对象的数据值，检查被测装置响应并</w:t>
            </w:r>
            <w:r>
              <w:rPr>
                <w:color w:val="auto"/>
                <w:highlight w:val="none"/>
              </w:rPr>
              <w:t>验证写入值</w:t>
            </w:r>
            <w:r>
              <w:rPr>
                <w:rFonts w:hint="eastAsia"/>
                <w:color w:val="auto"/>
                <w:highlight w:val="none"/>
              </w:rPr>
              <w:t>；</w:t>
            </w:r>
          </w:p>
          <w:p>
            <w:pPr>
              <w:rPr>
                <w:color w:val="auto"/>
                <w:highlight w:val="none"/>
              </w:rPr>
            </w:pPr>
            <w:r>
              <w:rPr>
                <w:rFonts w:hint="eastAsia"/>
                <w:color w:val="auto"/>
                <w:highlight w:val="none"/>
              </w:rPr>
              <w:t>8．对每个功能约束FC请求GetAllDataValues，并检查被测装置响应（DL/T 860.72的9.2.3)</w:t>
            </w:r>
          </w:p>
          <w:p>
            <w:pPr>
              <w:rPr>
                <w:color w:val="auto"/>
                <w:highlight w:val="none"/>
              </w:rPr>
            </w:pPr>
            <w:r>
              <w:rPr>
                <w:rFonts w:hint="eastAsia"/>
                <w:color w:val="auto"/>
                <w:highlight w:val="none"/>
              </w:rPr>
              <w:t>9．评估选择的模拟量测量值的语义（电压/电流）：</w:t>
            </w:r>
          </w:p>
          <w:p>
            <w:pPr>
              <w:rPr>
                <w:color w:val="auto"/>
                <w:highlight w:val="none"/>
              </w:rPr>
            </w:pPr>
            <w:r>
              <w:rPr>
                <w:rFonts w:hint="eastAsia"/>
                <w:color w:val="auto"/>
                <w:highlight w:val="none"/>
              </w:rPr>
              <w:t>检查模拟量值（正确性检查，不检查精度）</w:t>
            </w:r>
          </w:p>
          <w:p>
            <w:pPr>
              <w:rPr>
                <w:color w:val="auto"/>
                <w:highlight w:val="none"/>
              </w:rPr>
            </w:pPr>
            <w:r>
              <w:rPr>
                <w:rFonts w:hint="eastAsia"/>
                <w:color w:val="auto"/>
                <w:highlight w:val="none"/>
              </w:rPr>
              <w:t>检查品质位（强制模拟特定品质位的情况）</w:t>
            </w:r>
          </w:p>
          <w:p>
            <w:pPr>
              <w:rPr>
                <w:color w:val="auto"/>
                <w:highlight w:val="none"/>
              </w:rPr>
            </w:pPr>
            <w:r>
              <w:rPr>
                <w:rFonts w:hint="eastAsia"/>
                <w:color w:val="auto"/>
                <w:highlight w:val="none"/>
              </w:rPr>
              <w:t>检查（UTC）时标值和品质（正确性检查，不检查精度）</w:t>
            </w:r>
          </w:p>
          <w:p>
            <w:pPr>
              <w:rPr>
                <w:color w:val="auto"/>
                <w:highlight w:val="none"/>
              </w:rPr>
            </w:pPr>
            <w:r>
              <w:rPr>
                <w:rFonts w:hint="eastAsia"/>
                <w:color w:val="auto"/>
                <w:highlight w:val="none"/>
              </w:rPr>
              <w:t>检查比例、量程和单位，改变设置并确认结果</w:t>
            </w:r>
          </w:p>
          <w:p>
            <w:pPr>
              <w:rPr>
                <w:color w:val="auto"/>
                <w:highlight w:val="none"/>
              </w:rPr>
            </w:pPr>
            <w:r>
              <w:rPr>
                <w:rFonts w:hint="eastAsia"/>
                <w:color w:val="auto"/>
                <w:highlight w:val="none"/>
              </w:rPr>
              <w:t>检查死区值，改变死区值并确认结果</w:t>
            </w:r>
          </w:p>
          <w:p>
            <w:pPr>
              <w:rPr>
                <w:color w:val="auto"/>
                <w:highlight w:val="none"/>
              </w:rPr>
            </w:pPr>
            <w:r>
              <w:rPr>
                <w:rFonts w:hint="eastAsia"/>
                <w:color w:val="auto"/>
                <w:highlight w:val="none"/>
              </w:rPr>
              <w:t>检查极限指示</w:t>
            </w:r>
          </w:p>
          <w:p>
            <w:pPr>
              <w:rPr>
                <w:color w:val="auto"/>
                <w:highlight w:val="none"/>
              </w:rPr>
            </w:pPr>
            <w:r>
              <w:rPr>
                <w:rFonts w:hint="eastAsia"/>
                <w:color w:val="auto"/>
                <w:highlight w:val="none"/>
              </w:rPr>
              <w:t>10．评估选择的状态量的语义：</w:t>
            </w:r>
          </w:p>
          <w:p>
            <w:pPr>
              <w:rPr>
                <w:color w:val="auto"/>
                <w:highlight w:val="none"/>
              </w:rPr>
            </w:pPr>
            <w:r>
              <w:rPr>
                <w:rFonts w:hint="eastAsia"/>
                <w:color w:val="auto"/>
                <w:highlight w:val="none"/>
              </w:rPr>
              <w:t>检查状态值</w:t>
            </w:r>
          </w:p>
          <w:p>
            <w:pPr>
              <w:rPr>
                <w:color w:val="auto"/>
                <w:highlight w:val="none"/>
              </w:rPr>
            </w:pPr>
            <w:r>
              <w:rPr>
                <w:rFonts w:hint="eastAsia"/>
                <w:color w:val="auto"/>
                <w:highlight w:val="none"/>
              </w:rPr>
              <w:t>检查品质位，强制模拟特定的品质位情况</w:t>
            </w:r>
          </w:p>
          <w:p>
            <w:pPr>
              <w:rPr>
                <w:color w:val="auto"/>
                <w:highlight w:val="none"/>
              </w:rPr>
            </w:pPr>
            <w:r>
              <w:rPr>
                <w:rFonts w:hint="eastAsia"/>
                <w:color w:val="auto"/>
                <w:highlight w:val="none"/>
              </w:rPr>
              <w:t>检查（UTC）时标值和品质（正确性检查，不检查精度）</w:t>
            </w:r>
          </w:p>
          <w:p>
            <w:pPr>
              <w:rPr>
                <w:color w:val="auto"/>
                <w:highlight w:val="none"/>
              </w:rPr>
            </w:pPr>
            <w:r>
              <w:rPr>
                <w:rFonts w:hint="eastAsia"/>
                <w:color w:val="auto"/>
                <w:highlight w:val="none"/>
              </w:rPr>
              <w:t>11．下发带有错误参数（对象未知，名称用例不匹配，逻辑设备错误或逻辑节点错误）的下列数据服务请求，检查被测装置服务差错响应的错误类型为“object-non-existent”：</w:t>
            </w:r>
          </w:p>
          <w:p>
            <w:pPr>
              <w:rPr>
                <w:color w:val="auto"/>
                <w:highlight w:val="none"/>
              </w:rPr>
            </w:pPr>
            <w:r>
              <w:rPr>
                <w:rFonts w:hint="eastAsia"/>
                <w:color w:val="auto"/>
                <w:highlight w:val="none"/>
              </w:rPr>
              <w:t>ServerDirectory（LOGICAL-DEVICE）（DL/T 860.72的 6.2.3）</w:t>
            </w:r>
          </w:p>
          <w:p>
            <w:pPr>
              <w:rPr>
                <w:color w:val="auto"/>
                <w:highlight w:val="none"/>
              </w:rPr>
            </w:pPr>
            <w:r>
              <w:rPr>
                <w:rFonts w:hint="eastAsia"/>
                <w:color w:val="auto"/>
                <w:highlight w:val="none"/>
              </w:rPr>
              <w:t>GetLogicalDeviceDirectory（DL/T 860.72的 8.2.1）</w:t>
            </w:r>
          </w:p>
          <w:p>
            <w:pPr>
              <w:rPr>
                <w:color w:val="auto"/>
                <w:highlight w:val="none"/>
              </w:rPr>
            </w:pPr>
            <w:r>
              <w:rPr>
                <w:rFonts w:hint="eastAsia"/>
                <w:color w:val="auto"/>
                <w:highlight w:val="none"/>
              </w:rPr>
              <w:t>GetLogicalNodeDirectory（DATA）（DL/T 860.72的 9.2.2）</w:t>
            </w:r>
          </w:p>
          <w:p>
            <w:pPr>
              <w:rPr>
                <w:color w:val="auto"/>
                <w:highlight w:val="none"/>
              </w:rPr>
            </w:pPr>
            <w:r>
              <w:rPr>
                <w:rFonts w:hint="eastAsia"/>
                <w:color w:val="auto"/>
                <w:highlight w:val="none"/>
              </w:rPr>
              <w:t>GetAllDataValues（DL/T 860.72的 9.2.3）</w:t>
            </w:r>
          </w:p>
          <w:p>
            <w:pPr>
              <w:rPr>
                <w:color w:val="auto"/>
                <w:highlight w:val="none"/>
              </w:rPr>
            </w:pPr>
            <w:r>
              <w:rPr>
                <w:rFonts w:hint="eastAsia"/>
                <w:color w:val="auto"/>
                <w:highlight w:val="none"/>
              </w:rPr>
              <w:t>GetDataValues（DL/T 860.72的 10.4.2）</w:t>
            </w:r>
          </w:p>
          <w:p>
            <w:pPr>
              <w:rPr>
                <w:color w:val="auto"/>
                <w:highlight w:val="none"/>
              </w:rPr>
            </w:pPr>
            <w:r>
              <w:rPr>
                <w:rFonts w:hint="eastAsia"/>
                <w:color w:val="auto"/>
                <w:highlight w:val="none"/>
              </w:rPr>
              <w:t>SetDataValues（DL/T 860.72的 10.4.3）</w:t>
            </w:r>
          </w:p>
          <w:p>
            <w:pPr>
              <w:rPr>
                <w:color w:val="auto"/>
                <w:highlight w:val="none"/>
              </w:rPr>
            </w:pPr>
            <w:r>
              <w:rPr>
                <w:rFonts w:hint="eastAsia"/>
                <w:color w:val="auto"/>
                <w:highlight w:val="none"/>
              </w:rPr>
              <w:t>GetDataDirectory（DL/T 860.72的 10.4.4）</w:t>
            </w:r>
          </w:p>
          <w:p>
            <w:pPr>
              <w:rPr>
                <w:color w:val="auto"/>
                <w:highlight w:val="none"/>
              </w:rPr>
            </w:pPr>
            <w:r>
              <w:rPr>
                <w:rFonts w:hint="eastAsia"/>
                <w:color w:val="auto"/>
                <w:highlight w:val="none"/>
              </w:rPr>
              <w:t>GetDataDefinition（DL/T 860.72的 10.4.5）</w:t>
            </w:r>
          </w:p>
          <w:p>
            <w:pPr>
              <w:rPr>
                <w:color w:val="auto"/>
                <w:highlight w:val="none"/>
              </w:rPr>
            </w:pPr>
            <w:r>
              <w:rPr>
                <w:color w:val="auto"/>
                <w:highlight w:val="none"/>
              </w:rPr>
              <w:t>13．下发SetDataValues请求写入超出数值范围的ENUMERATED枚举值，检查被测装置服务差错响应的错误类型为“object-value-invalid”（DL/T 860.72的 10.4.2）</w:t>
            </w:r>
          </w:p>
          <w:p>
            <w:pPr>
              <w:rPr>
                <w:color w:val="auto"/>
                <w:highlight w:val="none"/>
              </w:rPr>
            </w:pPr>
            <w:r>
              <w:rPr>
                <w:color w:val="auto"/>
                <w:highlight w:val="none"/>
              </w:rPr>
              <w:t>14. 下发SetDataValues请求写入不匹配数据类型（假如 int-float）的数据，检查被测装置服务差错响应的错误类型为“type-inconsistent”（DL/T 860.72的 10.4.2）</w:t>
            </w:r>
          </w:p>
          <w:p>
            <w:pPr>
              <w:rPr>
                <w:color w:val="auto"/>
                <w:highlight w:val="none"/>
              </w:rPr>
            </w:pPr>
            <w:r>
              <w:rPr>
                <w:rFonts w:hint="eastAsia"/>
                <w:color w:val="auto"/>
                <w:highlight w:val="none"/>
              </w:rPr>
              <w:t>15.下发SetDataValues请求写只读数据，检查被测装置服务差错响应的错误类型为“object-access-denied”（DL/T 860.72的 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45" w:name="_Toc528273638"/>
      <w:bookmarkStart w:id="346" w:name="_Toc484019022"/>
      <w:r>
        <w:rPr>
          <w:rFonts w:hint="eastAsia"/>
          <w:color w:val="auto"/>
          <w:highlight w:val="none"/>
        </w:rPr>
        <w:t>B.6 数据集测试</w:t>
      </w:r>
      <w:bookmarkEnd w:id="338"/>
      <w:bookmarkEnd w:id="339"/>
      <w:bookmarkEnd w:id="340"/>
      <w:bookmarkEnd w:id="341"/>
      <w:bookmarkEnd w:id="342"/>
      <w:bookmarkEnd w:id="343"/>
      <w:bookmarkEnd w:id="344"/>
      <w:bookmarkEnd w:id="345"/>
      <w:bookmarkEnd w:id="346"/>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数据集测试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Temp-Ser06</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 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被测装置的数据集测试符合标准要求。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1．GetLogicalNodeDirectory（DATA-SET）应正确应答；</w:t>
            </w:r>
          </w:p>
          <w:p>
            <w:pPr>
              <w:rPr>
                <w:color w:val="auto"/>
                <w:highlight w:val="none"/>
              </w:rPr>
            </w:pPr>
            <w:r>
              <w:rPr>
                <w:rFonts w:hint="eastAsia"/>
                <w:color w:val="auto"/>
                <w:highlight w:val="none"/>
              </w:rPr>
              <w:t>2．GetDataSetValues应正确应答；GetDataSetDirectory应正确应答；</w:t>
            </w:r>
          </w:p>
          <w:p>
            <w:pPr>
              <w:rPr>
                <w:color w:val="auto"/>
                <w:highlight w:val="none"/>
              </w:rPr>
            </w:pPr>
            <w:r>
              <w:rPr>
                <w:rFonts w:hint="eastAsia"/>
                <w:color w:val="auto"/>
                <w:highlight w:val="none"/>
              </w:rPr>
              <w:t>3．验证GetDataValues数据集成员的值与GetDataSetValues获得的值应一致；</w:t>
            </w:r>
          </w:p>
          <w:p>
            <w:pPr>
              <w:rPr>
                <w:color w:val="auto"/>
                <w:highlight w:val="none"/>
              </w:rPr>
            </w:pPr>
            <w:r>
              <w:rPr>
                <w:rFonts w:hint="eastAsia"/>
                <w:color w:val="auto"/>
                <w:highlight w:val="none"/>
              </w:rPr>
              <w:t>4．请求带有错误参数，服务差错响应类型应正确。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1．客户端对每个逻辑节点下发带有正确参数的GetLogicalNodeDirectory (DATA-SET)请求，检查被测装置应正确响应；</w:t>
            </w:r>
          </w:p>
          <w:p>
            <w:pPr>
              <w:rPr>
                <w:color w:val="auto"/>
                <w:highlight w:val="none"/>
              </w:rPr>
            </w:pPr>
            <w:r>
              <w:rPr>
                <w:rFonts w:hint="eastAsia"/>
                <w:color w:val="auto"/>
                <w:highlight w:val="none"/>
              </w:rPr>
              <w:t>2．对GetLogicalNodeDirectory (DATA-SET)响应的每一个DataSet，发送请求GetDataSetValues和GetDataSetDirectory请求(DL/T 860.72的 11.3.2、DL/T 860.72的 11.3.6)</w:t>
            </w:r>
          </w:p>
          <w:p>
            <w:pPr>
              <w:rPr>
                <w:color w:val="auto"/>
                <w:highlight w:val="none"/>
              </w:rPr>
            </w:pPr>
            <w:r>
              <w:rPr>
                <w:rFonts w:hint="eastAsia"/>
                <w:color w:val="auto"/>
                <w:highlight w:val="none"/>
              </w:rPr>
              <w:t>3．验证GetDataValues数据集成员的值与GetDataSetValues获得的值应一致；</w:t>
            </w:r>
          </w:p>
          <w:p>
            <w:pPr>
              <w:rPr>
                <w:color w:val="auto"/>
                <w:highlight w:val="none"/>
              </w:rPr>
            </w:pPr>
            <w:r>
              <w:rPr>
                <w:rFonts w:hint="eastAsia"/>
                <w:color w:val="auto"/>
                <w:highlight w:val="none"/>
              </w:rPr>
              <w:t>4．请求带有错误参数（对象未知、名称用例不匹配、逻辑设备错误或逻辑节点错误）下列数据集服务，检查被测装置服务差错响应的错误类型：</w:t>
            </w:r>
          </w:p>
          <w:p>
            <w:pPr>
              <w:rPr>
                <w:color w:val="auto"/>
                <w:highlight w:val="none"/>
              </w:rPr>
            </w:pPr>
            <w:r>
              <w:rPr>
                <w:rFonts w:hint="eastAsia"/>
                <w:color w:val="auto"/>
                <w:highlight w:val="none"/>
              </w:rPr>
              <w:t>GetDataSetValues服务差错为“object-non-existent”</w:t>
            </w:r>
          </w:p>
          <w:p>
            <w:pPr>
              <w:rPr>
                <w:color w:val="auto"/>
                <w:highlight w:val="none"/>
              </w:rPr>
            </w:pPr>
            <w:r>
              <w:rPr>
                <w:rFonts w:hint="eastAsia"/>
                <w:color w:val="auto"/>
                <w:highlight w:val="none"/>
              </w:rPr>
              <w:t>GetDataSetDirectory服务差错为“object-undefined”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47" w:name="_Toc528273639"/>
      <w:bookmarkStart w:id="348" w:name="_Toc484019023"/>
      <w:bookmarkStart w:id="349" w:name="_Toc434056630"/>
      <w:bookmarkStart w:id="350" w:name="_Toc434055587"/>
      <w:bookmarkStart w:id="351" w:name="_Toc393615278"/>
      <w:bookmarkStart w:id="352" w:name="_Toc355437850"/>
      <w:bookmarkStart w:id="353" w:name="_Toc367604600"/>
      <w:bookmarkStart w:id="354" w:name="_Toc396838371"/>
      <w:bookmarkStart w:id="355" w:name="_Toc383525301"/>
      <w:r>
        <w:rPr>
          <w:rFonts w:hint="eastAsia"/>
          <w:color w:val="auto"/>
          <w:highlight w:val="none"/>
        </w:rPr>
        <w:t xml:space="preserve">B.7 </w:t>
      </w:r>
      <w:r>
        <w:rPr>
          <w:color w:val="auto"/>
          <w:highlight w:val="none"/>
        </w:rPr>
        <w:t>取代测试</w:t>
      </w:r>
      <w:bookmarkEnd w:id="347"/>
      <w:bookmarkEnd w:id="348"/>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取代测试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rFonts w:hint="eastAsia"/>
                <w:color w:val="auto"/>
                <w:highlight w:val="none"/>
              </w:rPr>
              <w:t>Temp-Ser07</w:t>
            </w:r>
            <w:r>
              <w:rPr>
                <w:rFonts w:hint="eastAsia"/>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DL/T860一致性测试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被测装置的取代功能符合标准要求。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2．在关联失败情况下，被测装置取代值仍然保持；</w:t>
            </w:r>
          </w:p>
          <w:p>
            <w:pPr>
              <w:rPr>
                <w:color w:val="auto"/>
                <w:highlight w:val="none"/>
              </w:rPr>
            </w:pPr>
            <w:r>
              <w:rPr>
                <w:rFonts w:hint="eastAsia"/>
                <w:color w:val="auto"/>
                <w:highlight w:val="none"/>
              </w:rPr>
              <w:t>3．检查DUT在或重新启动后，被测装置取代值是否保持应与PIXIT Sb1描述一致；</w:t>
            </w:r>
          </w:p>
          <w:p>
            <w:pPr>
              <w:rPr>
                <w:color w:val="auto"/>
                <w:highlight w:val="none"/>
              </w:rPr>
            </w:pPr>
            <w:r>
              <w:rPr>
                <w:rFonts w:hint="eastAsia"/>
                <w:color w:val="auto"/>
                <w:highlight w:val="none"/>
              </w:rPr>
              <w:t>4．当 SubEna已使能，装置设置 SubVal、SubCMag、SubQ、SubID以服务肯定响应回答（DL/T 860.72的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1．检查装置取代值的传送由SubEna属性决定。SubEna=False时，设置的 SubVal、SubMag、SubCMag、SubQ取代值不传送；而当 SubEna=True时，取代值应被传送（DL/T 860.72的 12）</w:t>
            </w:r>
          </w:p>
          <w:p>
            <w:pPr>
              <w:rPr>
                <w:color w:val="auto"/>
                <w:highlight w:val="none"/>
              </w:rPr>
            </w:pPr>
            <w:r>
              <w:rPr>
                <w:rFonts w:hint="eastAsia"/>
                <w:color w:val="auto"/>
                <w:highlight w:val="none"/>
              </w:rPr>
              <w:t>2．检查在装置关联失败情况下，取代值仍然保持</w:t>
            </w:r>
          </w:p>
          <w:p>
            <w:pPr>
              <w:rPr>
                <w:color w:val="auto"/>
                <w:highlight w:val="none"/>
              </w:rPr>
            </w:pPr>
            <w:r>
              <w:rPr>
                <w:rFonts w:hint="eastAsia"/>
                <w:color w:val="auto"/>
                <w:highlight w:val="none"/>
              </w:rPr>
              <w:t>3．检查装置在重新启动后，取代值是否保持应与PIXIT Sb1描述一致</w:t>
            </w:r>
          </w:p>
          <w:p>
            <w:pPr>
              <w:rPr>
                <w:color w:val="auto"/>
                <w:highlight w:val="none"/>
              </w:rPr>
            </w:pPr>
            <w:r>
              <w:rPr>
                <w:rFonts w:hint="eastAsia"/>
                <w:color w:val="auto"/>
                <w:highlight w:val="none"/>
              </w:rPr>
              <w:t>4．检查SubEna=True时客户端设置 SubVal、SubCMag、SubQ、SubID，装置应以服务肯定响应回答（DL/T 860.72的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56" w:name="_Toc484019024"/>
      <w:bookmarkStart w:id="357" w:name="_Toc528273640"/>
      <w:r>
        <w:rPr>
          <w:color w:val="auto"/>
          <w:highlight w:val="none"/>
        </w:rPr>
        <w:t>B</w:t>
      </w:r>
      <w:r>
        <w:rPr>
          <w:rFonts w:hint="eastAsia"/>
          <w:color w:val="auto"/>
          <w:highlight w:val="none"/>
        </w:rPr>
        <w:t>.8 报告模型测试</w:t>
      </w:r>
      <w:bookmarkEnd w:id="349"/>
      <w:bookmarkEnd w:id="350"/>
      <w:bookmarkEnd w:id="351"/>
      <w:bookmarkEnd w:id="352"/>
      <w:bookmarkEnd w:id="353"/>
      <w:bookmarkEnd w:id="354"/>
      <w:bookmarkEnd w:id="355"/>
      <w:bookmarkEnd w:id="356"/>
      <w:bookmarkEnd w:id="357"/>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报告模型测试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rFonts w:hint="eastAsia"/>
                <w:color w:val="auto"/>
                <w:highlight w:val="none"/>
              </w:rPr>
              <w:t>Temp-Ser08</w:t>
            </w:r>
            <w:r>
              <w:rPr>
                <w:rFonts w:hint="eastAsia"/>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 860.81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DL/T860一致性测试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被测装置的报告功能符合标准要求。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1．客户端下发GetLogicalNodeDirectory（URCB/BRCB）请求，被测装置应能正确响应；对每个响应的报告控制块下发GetURCBValues/GetBRCBValues请求读取属性值，报告控制块初始化触发选项值中总召位应为1</w:t>
            </w:r>
          </w:p>
          <w:p>
            <w:pPr>
              <w:rPr>
                <w:color w:val="auto"/>
                <w:highlight w:val="none"/>
              </w:rPr>
            </w:pPr>
            <w:r>
              <w:rPr>
                <w:rFonts w:hint="eastAsia"/>
                <w:color w:val="auto"/>
                <w:highlight w:val="none"/>
              </w:rPr>
              <w:t>2．报告控制块按照PIXIT描述支持的触发条件正确上送报告；</w:t>
            </w:r>
          </w:p>
          <w:p>
            <w:pPr>
              <w:rPr>
                <w:color w:val="auto"/>
                <w:highlight w:val="none"/>
              </w:rPr>
            </w:pPr>
            <w:r>
              <w:rPr>
                <w:rFonts w:hint="eastAsia"/>
                <w:color w:val="auto"/>
                <w:highlight w:val="none"/>
              </w:rPr>
              <w:t>3．配置/使能BRCB进行所有可选域的组合，报告包含使能的可选域；</w:t>
            </w:r>
          </w:p>
          <w:p>
            <w:pPr>
              <w:rPr>
                <w:color w:val="auto"/>
                <w:highlight w:val="none"/>
              </w:rPr>
            </w:pPr>
            <w:r>
              <w:rPr>
                <w:rFonts w:hint="eastAsia"/>
                <w:color w:val="auto"/>
                <w:highlight w:val="none"/>
              </w:rPr>
              <w:t>4．设置报告控制块的GI属性启动总召唤过程，将发送具有当前数据值的报告；总召唤启动以后，GI属性复位为 False</w:t>
            </w:r>
          </w:p>
          <w:p>
            <w:pPr>
              <w:rPr>
                <w:color w:val="auto"/>
                <w:highlight w:val="none"/>
              </w:rPr>
            </w:pPr>
            <w:r>
              <w:rPr>
                <w:rFonts w:hint="eastAsia"/>
                <w:color w:val="auto"/>
                <w:highlight w:val="none"/>
              </w:rPr>
              <w:t xml:space="preserve">5．装置应支持报告的分段，发生分段的报告应包含相同的SqNum值、report time stamp值和EntryID值， SubSqNum应从0开始并递增，除了最后一个发送的分段报告中MoreSegmentsFollow=FALSE外，之前发送的分段报告中MoreSegmentsFollow=TRUE </w:t>
            </w:r>
          </w:p>
          <w:p>
            <w:pPr>
              <w:rPr>
                <w:color w:val="auto"/>
                <w:highlight w:val="none"/>
              </w:rPr>
            </w:pPr>
            <w:r>
              <w:rPr>
                <w:rFonts w:hint="eastAsia"/>
                <w:color w:val="auto"/>
                <w:highlight w:val="none"/>
              </w:rPr>
              <w:t>6. 被测装置重启后，ConfRev 值应返回到当地初始配置或是保留为重启之前的值(PIXIT Rp12)；</w:t>
            </w:r>
          </w:p>
          <w:p>
            <w:pPr>
              <w:rPr>
                <w:color w:val="auto"/>
                <w:highlight w:val="none"/>
              </w:rPr>
            </w:pPr>
            <w:r>
              <w:rPr>
                <w:rFonts w:hint="eastAsia"/>
                <w:color w:val="auto"/>
                <w:highlight w:val="none"/>
              </w:rPr>
              <w:t>7. 报告控制块能够发送带有数据对象/数据属性的报告（PIXIT Rp9）；</w:t>
            </w:r>
          </w:p>
          <w:p>
            <w:pPr>
              <w:rPr>
                <w:color w:val="auto"/>
                <w:highlight w:val="none"/>
              </w:rPr>
            </w:pPr>
            <w:r>
              <w:rPr>
                <w:rFonts w:hint="eastAsia"/>
                <w:color w:val="auto"/>
                <w:highlight w:val="none"/>
              </w:rPr>
              <w:t>8. 报告控制块引用DATA-SET同一元素（成员）在bufTm时间内发生第二个内部提示，服务器能够按照标准方式处理（PIXIT Rp4）。</w:t>
            </w:r>
          </w:p>
          <w:p>
            <w:pPr>
              <w:rPr>
                <w:color w:val="auto"/>
                <w:highlight w:val="none"/>
              </w:rPr>
            </w:pPr>
            <w:r>
              <w:rPr>
                <w:rFonts w:hint="eastAsia"/>
                <w:color w:val="auto"/>
                <w:highlight w:val="none"/>
              </w:rPr>
              <w:t>9．报告控制块可在完整性报告前先上送bufTm时间内缓存的所有事件报告</w:t>
            </w:r>
          </w:p>
          <w:p>
            <w:pPr>
              <w:rPr>
                <w:color w:val="auto"/>
                <w:highlight w:val="none"/>
              </w:rPr>
            </w:pPr>
            <w:r>
              <w:rPr>
                <w:rFonts w:hint="eastAsia"/>
                <w:color w:val="auto"/>
                <w:highlight w:val="none"/>
              </w:rPr>
              <w:t>10．报告控制块可在收到总召唤请求时先上送bufTm时间内缓存的所有事件报告再</w:t>
            </w:r>
            <w:r>
              <w:rPr>
                <w:color w:val="auto"/>
                <w:highlight w:val="none"/>
              </w:rPr>
              <w:t>上送总召报告</w:t>
            </w:r>
          </w:p>
          <w:p>
            <w:pPr>
              <w:rPr>
                <w:color w:val="auto"/>
                <w:highlight w:val="none"/>
              </w:rPr>
            </w:pPr>
            <w:r>
              <w:rPr>
                <w:rFonts w:hint="eastAsia"/>
                <w:color w:val="auto"/>
                <w:highlight w:val="none"/>
              </w:rPr>
              <w:t>11．被测装置支持发送数据集中包含不同层级数据结构成员（TISSUE #453 Subclause 1.2.2）</w:t>
            </w:r>
          </w:p>
          <w:p>
            <w:pPr>
              <w:rPr>
                <w:color w:val="auto"/>
                <w:highlight w:val="none"/>
              </w:rPr>
            </w:pPr>
            <w:r>
              <w:rPr>
                <w:rFonts w:hint="eastAsia"/>
                <w:color w:val="auto"/>
                <w:highlight w:val="none"/>
              </w:rPr>
              <w:t>12．装置具备报告EntryID的重新同步功能；</w:t>
            </w:r>
          </w:p>
          <w:p>
            <w:pPr>
              <w:rPr>
                <w:color w:val="auto"/>
                <w:highlight w:val="none"/>
              </w:rPr>
            </w:pPr>
            <w:r>
              <w:rPr>
                <w:rFonts w:hint="eastAsia"/>
                <w:color w:val="auto"/>
                <w:highlight w:val="none"/>
              </w:rPr>
              <w:t>13．在通信连接恢复后，若客户端不设置EntryID就使能BRCB，则BRCB在使能后按照正确的时间顺序上送缓冲队列中所有已发送过和未发送过的事件报告，且只有上送的第一个报告中buffer-overflow=True，报告上送过程中sqNum不应出现跳变。</w:t>
            </w:r>
          </w:p>
          <w:p>
            <w:pPr>
              <w:rPr>
                <w:color w:val="auto"/>
                <w:highlight w:val="none"/>
              </w:rPr>
            </w:pPr>
            <w:r>
              <w:rPr>
                <w:rFonts w:hint="eastAsia"/>
                <w:color w:val="auto"/>
                <w:highlight w:val="none"/>
              </w:rPr>
              <w:t>14. 检查被测装置与客户端通信连接断开后产生的完整性报告应缓存，客户端在使能前写入中断前收到最后一个完整性报告的EntryID值，则被测装置通信中断过程中缓存的完整性周期事件应在BRCB使能后从写入EntryID条目的下一个开始按照正确的时间顺序上送</w:t>
            </w:r>
          </w:p>
          <w:p>
            <w:pPr>
              <w:rPr>
                <w:color w:val="auto"/>
                <w:highlight w:val="none"/>
              </w:rPr>
            </w:pPr>
            <w:r>
              <w:rPr>
                <w:rFonts w:hint="eastAsia"/>
                <w:color w:val="auto"/>
                <w:highlight w:val="none"/>
              </w:rPr>
              <w:t>15．在BRCB下列属性（RptID, BufTm, TrgOps, IntgPd, DatSet）支持通过SetBRCBValues服务可以在线修改的前提下，修改BRCB的RptID, BufTm, TrgOps, IntgPd, DatSet属性起到清除报告缓存队列的效果。修改OptFlds属性不应该清除缓存队列</w:t>
            </w:r>
          </w:p>
          <w:p>
            <w:pPr>
              <w:rPr>
                <w:color w:val="auto"/>
                <w:highlight w:val="none"/>
              </w:rPr>
            </w:pPr>
            <w:r>
              <w:rPr>
                <w:rFonts w:hint="eastAsia"/>
                <w:color w:val="auto"/>
                <w:highlight w:val="none"/>
              </w:rPr>
              <w:t>16．写入BRCB的EntryID值未知（不存在）、全0时，被测装置的响应符合标准</w:t>
            </w:r>
          </w:p>
          <w:p>
            <w:pPr>
              <w:rPr>
                <w:color w:val="auto"/>
                <w:highlight w:val="none"/>
              </w:rPr>
            </w:pPr>
            <w:r>
              <w:rPr>
                <w:rFonts w:hint="eastAsia"/>
                <w:color w:val="auto"/>
                <w:highlight w:val="none"/>
              </w:rPr>
              <w:t>17．BRCB属性RptEna=FALSE时，被测装置对客户端GetBRCBValues（EntryID）服务返回的EntryID值应为最后一个进入的报告缓存队列中的条目号值；当RptEna=TRUE时，被测装置对客户端GetBRCBValues（EntryID）服务返回的EntryID值应为队列中刚发送过报告的EntryID值</w:t>
            </w:r>
          </w:p>
          <w:p>
            <w:pPr>
              <w:rPr>
                <w:color w:val="auto"/>
                <w:highlight w:val="none"/>
              </w:rPr>
            </w:pPr>
            <w:r>
              <w:rPr>
                <w:rFonts w:hint="eastAsia"/>
                <w:color w:val="auto"/>
                <w:highlight w:val="none"/>
              </w:rPr>
              <w:t>18．检查BRCB在使能状态下连续收到多次GI请求上送的多次GI报告，但在BRCB条目队列中却只存有最后一次的GI报告，因此在BRCB设置EntryID值全为0并重新使能后，按照时序上送的所有报告中只包含最后一次GI报告。</w:t>
            </w:r>
          </w:p>
          <w:p>
            <w:pPr>
              <w:rPr>
                <w:color w:val="auto"/>
                <w:highlight w:val="none"/>
              </w:rPr>
            </w:pPr>
            <w:r>
              <w:rPr>
                <w:rFonts w:hint="eastAsia"/>
                <w:color w:val="auto"/>
                <w:highlight w:val="none"/>
              </w:rPr>
              <w:t>19．客户端下发带有错误参数（对象未知，名称用例不匹配，逻辑设备错误或逻辑节点错误）的GetURCBValue/GetBRCBValue请求，被测装置服务差错响应的错误类型为“object-non-existent”</w:t>
            </w:r>
          </w:p>
          <w:p>
            <w:pPr>
              <w:rPr>
                <w:color w:val="auto"/>
                <w:highlight w:val="none"/>
              </w:rPr>
            </w:pPr>
            <w:r>
              <w:rPr>
                <w:rFonts w:hint="eastAsia"/>
                <w:color w:val="auto"/>
                <w:highlight w:val="none"/>
              </w:rPr>
              <w:t>20．检查被测装置不配置任何触发选项，报告控制块使能后即使有事件产生也不发送报告；</w:t>
            </w:r>
          </w:p>
          <w:p>
            <w:pPr>
              <w:rPr>
                <w:color w:val="auto"/>
                <w:highlight w:val="none"/>
              </w:rPr>
            </w:pPr>
            <w:r>
              <w:rPr>
                <w:rFonts w:hint="eastAsia"/>
                <w:color w:val="auto"/>
                <w:highlight w:val="none"/>
              </w:rPr>
              <w:t>21．报告控制块完整性周期属性值为 0时，即使触发选项中完整性周期位为1，使能报告控制块也不发送完整性报告</w:t>
            </w:r>
          </w:p>
          <w:p>
            <w:pPr>
              <w:rPr>
                <w:color w:val="auto"/>
                <w:highlight w:val="none"/>
              </w:rPr>
            </w:pPr>
            <w:r>
              <w:rPr>
                <w:rFonts w:hint="eastAsia"/>
                <w:color w:val="auto"/>
                <w:highlight w:val="none"/>
              </w:rPr>
              <w:t>22．报告控制块仅设置触发选项中总召位为1其他触发选项位为0，使能报告控制块后产生事件不上送任何报告</w:t>
            </w:r>
          </w:p>
          <w:p>
            <w:pPr>
              <w:rPr>
                <w:color w:val="auto"/>
                <w:highlight w:val="none"/>
              </w:rPr>
            </w:pPr>
            <w:r>
              <w:rPr>
                <w:rFonts w:hint="eastAsia"/>
                <w:color w:val="auto"/>
                <w:highlight w:val="none"/>
              </w:rPr>
              <w:t>23．报告控制块的错误配置，应能按标准正确响应服务差错。</w:t>
            </w:r>
          </w:p>
          <w:p>
            <w:pPr>
              <w:rPr>
                <w:color w:val="auto"/>
                <w:highlight w:val="none"/>
              </w:rPr>
            </w:pPr>
            <w:r>
              <w:rPr>
                <w:rFonts w:hint="eastAsia"/>
                <w:color w:val="auto"/>
                <w:highlight w:val="none"/>
              </w:rPr>
              <w:t>24．配置 URCB并设置 Resv属性并使能它。另一个客户端应不能设置这个 URCB的任何属性，被测装置对另外一个客户端的SetURCBValues请求写可写属性回复否定响应，错误类型为“temporarily-unavailable”</w:t>
            </w:r>
          </w:p>
          <w:p>
            <w:pPr>
              <w:rPr>
                <w:color w:val="auto"/>
                <w:highlight w:val="none"/>
              </w:rPr>
            </w:pPr>
            <w:r>
              <w:rPr>
                <w:rFonts w:hint="eastAsia"/>
                <w:color w:val="auto"/>
                <w:highlight w:val="none"/>
              </w:rPr>
              <w:t>25．配置并使能BRCB。另一个客户端不能设置这个BRCB的任何属性，被测装置对另外一个客户端的SetURCBValues请求写可写属性回复否定响应，错误类型为“temporarily-unavailable”</w:t>
            </w:r>
          </w:p>
          <w:p>
            <w:pPr>
              <w:rPr>
                <w:color w:val="auto"/>
                <w:highlight w:val="none"/>
              </w:rPr>
            </w:pPr>
            <w:r>
              <w:rPr>
                <w:rFonts w:hint="eastAsia"/>
                <w:color w:val="auto"/>
                <w:highlight w:val="none"/>
              </w:rPr>
              <w:t>26．检查</w:t>
            </w:r>
          </w:p>
          <w:p>
            <w:pPr>
              <w:rPr>
                <w:color w:val="auto"/>
                <w:highlight w:val="none"/>
              </w:rPr>
            </w:pPr>
            <w:r>
              <w:rPr>
                <w:rFonts w:hint="eastAsia"/>
                <w:color w:val="auto"/>
                <w:highlight w:val="none"/>
              </w:rPr>
              <w:t>a)</w:t>
            </w:r>
            <w:r>
              <w:rPr>
                <w:rFonts w:hint="eastAsia"/>
                <w:color w:val="auto"/>
                <w:highlight w:val="none"/>
              </w:rPr>
              <w:tab/>
            </w:r>
            <w:r>
              <w:rPr>
                <w:rFonts w:hint="eastAsia"/>
                <w:color w:val="auto"/>
                <w:highlight w:val="none"/>
              </w:rPr>
              <w:t>客户端使能触发选项中GI位为0的报告控制块，设置属性GI=TRUE进行总召唤，被测装置回复肯定响应但不上送总召报告</w:t>
            </w:r>
          </w:p>
          <w:p>
            <w:pPr>
              <w:rPr>
                <w:color w:val="auto"/>
                <w:highlight w:val="none"/>
              </w:rPr>
            </w:pPr>
            <w:r>
              <w:rPr>
                <w:rFonts w:hint="eastAsia"/>
                <w:color w:val="auto"/>
                <w:highlight w:val="none"/>
              </w:rPr>
              <w:t>b)</w:t>
            </w:r>
            <w:r>
              <w:rPr>
                <w:rFonts w:hint="eastAsia"/>
                <w:color w:val="auto"/>
                <w:highlight w:val="none"/>
              </w:rPr>
              <w:tab/>
            </w:r>
            <w:r>
              <w:rPr>
                <w:rFonts w:hint="eastAsia"/>
                <w:color w:val="auto"/>
                <w:highlight w:val="none"/>
              </w:rPr>
              <w:t>客户端停止报告控制块同时置触发选项中GI位为1，设置属性GI=TRUE进行总召唤，被测装置回复否定响应，错误类型为“temporarily unavailable”</w:t>
            </w:r>
          </w:p>
          <w:p>
            <w:pPr>
              <w:rPr>
                <w:color w:val="auto"/>
                <w:highlight w:val="none"/>
              </w:rPr>
            </w:pPr>
            <w:r>
              <w:rPr>
                <w:rFonts w:hint="eastAsia"/>
                <w:color w:val="auto"/>
                <w:highlight w:val="none"/>
              </w:rPr>
              <w:t>c)</w:t>
            </w:r>
            <w:r>
              <w:rPr>
                <w:rFonts w:hint="eastAsia"/>
                <w:color w:val="auto"/>
                <w:highlight w:val="none"/>
              </w:rPr>
              <w:tab/>
            </w:r>
            <w:r>
              <w:rPr>
                <w:rFonts w:hint="eastAsia"/>
                <w:color w:val="auto"/>
                <w:highlight w:val="none"/>
              </w:rPr>
              <w:t>客户端使能触发选项中GI位为1的报告控制块，设置属性GI=False，被测装置回复肯定响应但不上送总召报告</w:t>
            </w:r>
          </w:p>
          <w:p>
            <w:pPr>
              <w:rPr>
                <w:color w:val="auto"/>
                <w:highlight w:val="none"/>
              </w:rPr>
            </w:pPr>
            <w:r>
              <w:rPr>
                <w:rFonts w:hint="eastAsia"/>
                <w:color w:val="auto"/>
                <w:highlight w:val="none"/>
              </w:rPr>
              <w:t>d)</w:t>
            </w:r>
            <w:r>
              <w:rPr>
                <w:rFonts w:hint="eastAsia"/>
                <w:color w:val="auto"/>
                <w:highlight w:val="none"/>
              </w:rPr>
              <w:tab/>
            </w:r>
            <w:r>
              <w:rPr>
                <w:rFonts w:hint="eastAsia"/>
                <w:color w:val="auto"/>
                <w:highlight w:val="none"/>
              </w:rPr>
              <w:t>客户端使能触发选项中GI位为1的报告控制块，设置属性GI=TRUE，被测装置回复肯定响应并上送总召报告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1．客户端下发GetLogicalNodeDirectory（URCB/BRCB）请求，被测装置应能正确响应；对每个响应的报告控制块下发GetURCBValues/GetBRCBValues请求读取属性值，报告控制块初始化触发选项值中总召位应为1；</w:t>
            </w:r>
          </w:p>
          <w:p>
            <w:pPr>
              <w:rPr>
                <w:color w:val="auto"/>
                <w:highlight w:val="none"/>
              </w:rPr>
            </w:pPr>
            <w:r>
              <w:rPr>
                <w:rFonts w:hint="eastAsia"/>
                <w:color w:val="auto"/>
                <w:highlight w:val="none"/>
              </w:rPr>
              <w:t>2．检查报告控制块按照PIXIT描述支持的触发条件正确上送报告</w:t>
            </w:r>
          </w:p>
          <w:p>
            <w:pPr>
              <w:rPr>
                <w:color w:val="auto"/>
                <w:highlight w:val="none"/>
              </w:rPr>
            </w:pPr>
            <w:r>
              <w:rPr>
                <w:rFonts w:hint="eastAsia"/>
                <w:color w:val="auto"/>
                <w:highlight w:val="none"/>
              </w:rPr>
              <w:t>配置和使能 URCB/BRCB具有全部有用的可选域：sequence-number， report-time-stamp，reason-for-inclusion，data-set-name，data-reference,（buffer-overflow，entryID仅对BRCB）(TISSUE #453 Subclause 1.2.3.2.2.1)，并检查报告按照以下触发条件被传送：</w:t>
            </w:r>
          </w:p>
          <w:p>
            <w:pPr>
              <w:rPr>
                <w:color w:val="auto"/>
                <w:highlight w:val="none"/>
              </w:rPr>
            </w:pPr>
            <w:r>
              <w:rPr>
                <w:color w:val="auto"/>
                <w:highlight w:val="none"/>
              </w:rPr>
              <w:t>完整性周期</w:t>
            </w:r>
          </w:p>
          <w:p>
            <w:pPr>
              <w:rPr>
                <w:color w:val="auto"/>
                <w:highlight w:val="none"/>
              </w:rPr>
            </w:pPr>
            <w:r>
              <w:rPr>
                <w:color w:val="auto"/>
                <w:highlight w:val="none"/>
              </w:rPr>
              <w:t>数据更新（dupd）</w:t>
            </w:r>
          </w:p>
          <w:p>
            <w:pPr>
              <w:rPr>
                <w:color w:val="auto"/>
                <w:highlight w:val="none"/>
              </w:rPr>
            </w:pPr>
            <w:r>
              <w:rPr>
                <w:color w:val="auto"/>
                <w:highlight w:val="none"/>
              </w:rPr>
              <w:t>完整性周期和数据更新</w:t>
            </w:r>
          </w:p>
          <w:p>
            <w:pPr>
              <w:rPr>
                <w:color w:val="auto"/>
                <w:highlight w:val="none"/>
              </w:rPr>
            </w:pPr>
            <w:r>
              <w:rPr>
                <w:color w:val="auto"/>
                <w:highlight w:val="none"/>
              </w:rPr>
              <w:t>数据变化（dchg）</w:t>
            </w:r>
          </w:p>
          <w:p>
            <w:pPr>
              <w:rPr>
                <w:color w:val="auto"/>
                <w:highlight w:val="none"/>
              </w:rPr>
            </w:pPr>
            <w:r>
              <w:rPr>
                <w:color w:val="auto"/>
                <w:highlight w:val="none"/>
              </w:rPr>
              <w:t>数据和品质变化</w:t>
            </w:r>
          </w:p>
          <w:p>
            <w:pPr>
              <w:rPr>
                <w:color w:val="auto"/>
                <w:highlight w:val="none"/>
              </w:rPr>
            </w:pPr>
            <w:r>
              <w:rPr>
                <w:color w:val="auto"/>
                <w:highlight w:val="none"/>
              </w:rPr>
              <w:t>带有完整性周期的数据和品质变化</w:t>
            </w:r>
          </w:p>
          <w:p>
            <w:pPr>
              <w:rPr>
                <w:color w:val="auto"/>
                <w:highlight w:val="none"/>
              </w:rPr>
            </w:pPr>
            <w:r>
              <w:rPr>
                <w:rFonts w:hint="eastAsia"/>
                <w:color w:val="auto"/>
                <w:highlight w:val="none"/>
              </w:rPr>
              <w:t>检查报告中ReasonCode应与实际触发条件一致</w:t>
            </w:r>
          </w:p>
          <w:p>
            <w:pPr>
              <w:rPr>
                <w:color w:val="auto"/>
                <w:highlight w:val="none"/>
              </w:rPr>
            </w:pPr>
            <w:r>
              <w:rPr>
                <w:rFonts w:hint="eastAsia"/>
                <w:color w:val="auto"/>
                <w:highlight w:val="none"/>
              </w:rPr>
              <w:t>检查当多个触发条件同时满足时只产生一个报告（(TISSUE #453 Subclause 1.2.3.2.3.2)</w:t>
            </w:r>
          </w:p>
          <w:p>
            <w:pPr>
              <w:rPr>
                <w:color w:val="auto"/>
                <w:highlight w:val="none"/>
              </w:rPr>
            </w:pPr>
            <w:r>
              <w:rPr>
                <w:rFonts w:hint="eastAsia"/>
                <w:color w:val="auto"/>
                <w:highlight w:val="none"/>
              </w:rPr>
              <w:t>检查当RptEna设置为 True时才发送报告(TISSUE #453 Subclause 1.2.2.5)，停止使能报告时，不传送报告</w:t>
            </w:r>
          </w:p>
          <w:p>
            <w:pPr>
              <w:rPr>
                <w:color w:val="auto"/>
                <w:highlight w:val="none"/>
              </w:rPr>
            </w:pPr>
            <w:r>
              <w:rPr>
                <w:rFonts w:hint="eastAsia"/>
                <w:color w:val="auto"/>
                <w:highlight w:val="none"/>
              </w:rPr>
              <w:t>3．配置报告控制块包含所有可选域的组合：sequence-number，report-time-stamp，reason-for-inclusion，data-set-name，data-reference，（buffer-overflow，和/或entryID仅对BRCB）(TISSUE #453 Subclause 1.2.3.2.2.1)，检查报告控制块上送的报告应包含配置的可选域</w:t>
            </w:r>
          </w:p>
          <w:p>
            <w:pPr>
              <w:rPr>
                <w:color w:val="auto"/>
                <w:highlight w:val="none"/>
              </w:rPr>
            </w:pPr>
            <w:r>
              <w:rPr>
                <w:rFonts w:hint="eastAsia"/>
                <w:color w:val="auto"/>
                <w:highlight w:val="none"/>
              </w:rPr>
              <w:t>4．设置报告控制块的GI属性启动总召唤过程，报告控制块将发送包含所有数据集成员的当前数据值报告。总召唤启动以后，GI属性复位为 False</w:t>
            </w:r>
          </w:p>
          <w:p>
            <w:pPr>
              <w:rPr>
                <w:color w:val="auto"/>
                <w:highlight w:val="none"/>
              </w:rPr>
            </w:pPr>
            <w:r>
              <w:rPr>
                <w:rFonts w:hint="eastAsia"/>
                <w:color w:val="auto"/>
                <w:highlight w:val="none"/>
              </w:rPr>
              <w:t>5．检查如果报告太长不能在一个报文中传送，报告控制块可将报告分成几个子报告上送，发生分段的报告应包含相同的SqNum值、report time stamp值和EntryID值， SubSqNum应从0开始并递增，除了最后一个发送的分段报告中MoreSegmentsFollow=FALSE外，之前发送的分段报告中MoreSegmentsFollow=TRUE</w:t>
            </w:r>
          </w:p>
          <w:p>
            <w:pPr>
              <w:rPr>
                <w:color w:val="auto"/>
                <w:highlight w:val="none"/>
              </w:rPr>
            </w:pPr>
            <w:r>
              <w:rPr>
                <w:rFonts w:hint="eastAsia"/>
                <w:color w:val="auto"/>
                <w:highlight w:val="none"/>
              </w:rPr>
              <w:t>6．检查被测装置重启后，ConfRev 值应返回到当地初始配置或是保留为重启之前的值(PIXIT Rp12)。</w:t>
            </w:r>
          </w:p>
          <w:p>
            <w:pPr>
              <w:rPr>
                <w:color w:val="auto"/>
                <w:highlight w:val="none"/>
              </w:rPr>
            </w:pPr>
            <w:r>
              <w:rPr>
                <w:rFonts w:hint="eastAsia"/>
                <w:color w:val="auto"/>
                <w:highlight w:val="none"/>
              </w:rPr>
              <w:t>7．检查报告控制块能够发送带有数据对象/数据属性的报告（PIXIT Rp9）</w:t>
            </w:r>
          </w:p>
          <w:p>
            <w:pPr>
              <w:rPr>
                <w:color w:val="auto"/>
                <w:highlight w:val="none"/>
              </w:rPr>
            </w:pPr>
            <w:r>
              <w:rPr>
                <w:rFonts w:hint="eastAsia"/>
                <w:color w:val="auto"/>
                <w:highlight w:val="none"/>
              </w:rPr>
              <w:t>8．检查报告控制块引用DATA-SET同一元素（成员）在bufTm时间内发生第二个内部提示，服务器将：</w:t>
            </w:r>
          </w:p>
          <w:p>
            <w:pPr>
              <w:rPr>
                <w:color w:val="auto"/>
                <w:highlight w:val="none"/>
              </w:rPr>
            </w:pPr>
            <w:r>
              <w:rPr>
                <w:rFonts w:hint="eastAsia"/>
                <w:color w:val="auto"/>
                <w:highlight w:val="none"/>
              </w:rPr>
              <w:t>对于状态信息，如同 BufTm已经到一样，立即传输报告，以值 BufTm重新启动定时器，处理第二个提示</w:t>
            </w:r>
          </w:p>
          <w:p>
            <w:pPr>
              <w:rPr>
                <w:color w:val="auto"/>
                <w:highlight w:val="none"/>
              </w:rPr>
            </w:pPr>
            <w:r>
              <w:rPr>
                <w:rFonts w:hint="eastAsia"/>
                <w:color w:val="auto"/>
                <w:highlight w:val="none"/>
              </w:rPr>
              <w:t>对于模拟信息，如同 BufTm已经到一样，立即传输报告，以值 BufTm重新启动定时器，处理第二个提示，或用新值代替挂起报告中的当前值（PIXIT Rp4）</w:t>
            </w:r>
          </w:p>
          <w:p>
            <w:pPr>
              <w:rPr>
                <w:color w:val="auto"/>
                <w:highlight w:val="none"/>
              </w:rPr>
            </w:pPr>
            <w:r>
              <w:rPr>
                <w:rFonts w:hint="eastAsia"/>
                <w:color w:val="auto"/>
                <w:highlight w:val="none"/>
              </w:rPr>
              <w:t>9．检查报告控制块可在完整性报告前先上送bufTm时间内缓存的所有事件报告</w:t>
            </w:r>
          </w:p>
          <w:p>
            <w:pPr>
              <w:rPr>
                <w:color w:val="auto"/>
                <w:highlight w:val="none"/>
              </w:rPr>
            </w:pPr>
            <w:r>
              <w:rPr>
                <w:rFonts w:hint="eastAsia"/>
                <w:color w:val="auto"/>
                <w:highlight w:val="none"/>
              </w:rPr>
              <w:t>10．检查报告控制块可在收到总召唤请求时先上送bufTm时间内缓存的所有事件报告再</w:t>
            </w:r>
            <w:r>
              <w:rPr>
                <w:color w:val="auto"/>
                <w:highlight w:val="none"/>
              </w:rPr>
              <w:t>上送总召报告</w:t>
            </w:r>
          </w:p>
          <w:p>
            <w:pPr>
              <w:rPr>
                <w:color w:val="auto"/>
                <w:highlight w:val="none"/>
              </w:rPr>
            </w:pPr>
            <w:r>
              <w:rPr>
                <w:rFonts w:hint="eastAsia"/>
                <w:color w:val="auto"/>
                <w:highlight w:val="none"/>
              </w:rPr>
              <w:t>11．检查被测装置支持发送数据集中包含不同层级数据结构成员（TISSUE #453 Subclause 1.2.2）</w:t>
            </w:r>
          </w:p>
          <w:p>
            <w:pPr>
              <w:rPr>
                <w:color w:val="auto"/>
                <w:highlight w:val="none"/>
              </w:rPr>
            </w:pPr>
            <w:r>
              <w:rPr>
                <w:rFonts w:hint="eastAsia"/>
                <w:color w:val="auto"/>
                <w:highlight w:val="none"/>
              </w:rPr>
              <w:t>12．检查BRCB下列行为满足(TISSUE #453 的 1.2.2 图 24) 定义状态机的要求</w:t>
            </w:r>
          </w:p>
          <w:p>
            <w:pPr>
              <w:rPr>
                <w:color w:val="auto"/>
                <w:highlight w:val="none"/>
              </w:rPr>
            </w:pPr>
            <w:r>
              <w:rPr>
                <w:rFonts w:hint="eastAsia"/>
                <w:color w:val="auto"/>
                <w:highlight w:val="none"/>
              </w:rPr>
              <w:t>被测装置与客户端通信连接断开后所有的事件均被缓存，BRCB处于未使能状态、不向外发送报告，BRCB属性EntryID值与通信中断前上送报告中的EntryID不相同</w:t>
            </w:r>
          </w:p>
          <w:p>
            <w:pPr>
              <w:rPr>
                <w:color w:val="auto"/>
                <w:highlight w:val="none"/>
              </w:rPr>
            </w:pPr>
            <w:r>
              <w:rPr>
                <w:rFonts w:hint="eastAsia"/>
                <w:color w:val="auto"/>
                <w:highlight w:val="none"/>
              </w:rPr>
              <w:t>被测装置对客户端下发SetBRCBValues服务写入EntryID值的响应类型分两种：当写入EntryID值在报告队列中存在时回复肯定响应，当写入EntryID值在报告队列中不存在时回复差错响应，错误类型为“object-value-invalid”</w:t>
            </w:r>
          </w:p>
          <w:p>
            <w:pPr>
              <w:rPr>
                <w:color w:val="auto"/>
                <w:highlight w:val="none"/>
              </w:rPr>
            </w:pPr>
            <w:r>
              <w:rPr>
                <w:rFonts w:hint="eastAsia"/>
                <w:color w:val="auto"/>
                <w:highlight w:val="none"/>
              </w:rPr>
              <w:t>被测装置对客户端写入EntryID值回复肯定响应的前提下使能BRCB，BRCB应按照事件发生的正确时间顺序上送写入EntrID值事件后的所有事件报告(TISSUE #453 Subclause1.2.1, TISSUE #453 Subclause 1.2.2.5)</w:t>
            </w:r>
          </w:p>
          <w:p>
            <w:pPr>
              <w:rPr>
                <w:color w:val="auto"/>
                <w:highlight w:val="none"/>
              </w:rPr>
            </w:pPr>
            <w:r>
              <w:rPr>
                <w:rFonts w:hint="eastAsia"/>
                <w:color w:val="auto"/>
                <w:highlight w:val="none"/>
              </w:rPr>
              <w:t>若BRCB在重新使能前先进行清除缓存队列，则通信连接断开过程中产生的事件在BRCB在使能后不上送(TISSUE#453 Subclause 1.2.2.14)</w:t>
            </w:r>
          </w:p>
          <w:p>
            <w:pPr>
              <w:rPr>
                <w:color w:val="auto"/>
                <w:highlight w:val="none"/>
              </w:rPr>
            </w:pPr>
            <w:r>
              <w:rPr>
                <w:rFonts w:hint="eastAsia"/>
                <w:color w:val="auto"/>
                <w:highlight w:val="none"/>
              </w:rPr>
              <w:t>检查通信连接断开过程中产生大量的数据变化直至缓存队列溢出（PIXIT Rp7），则BRCB在使能后按照正确的时间顺序上送事件报告，但只有上送的第一个报告中buffer-overflow=True (TISSUE #453 Subclause 1 2.3.2.2.8)</w:t>
            </w:r>
          </w:p>
          <w:p>
            <w:pPr>
              <w:rPr>
                <w:color w:val="auto"/>
                <w:highlight w:val="none"/>
              </w:rPr>
            </w:pPr>
            <w:r>
              <w:rPr>
                <w:rFonts w:hint="eastAsia"/>
                <w:color w:val="auto"/>
                <w:highlight w:val="none"/>
              </w:rPr>
              <w:t>13．检查在通信连接恢复后，若客户端不设置EntryID就使能BRCB，则BRCB在使能后按照正确的时间顺序上送缓冲队列中所有已发送过和未发送过的事件报告，且只有上送的第一个报告中buffer-overflow=True，报告上送过程中sqNum不应出现跳变。</w:t>
            </w:r>
          </w:p>
          <w:p>
            <w:pPr>
              <w:rPr>
                <w:color w:val="auto"/>
                <w:highlight w:val="none"/>
              </w:rPr>
            </w:pPr>
            <w:r>
              <w:rPr>
                <w:rFonts w:hint="eastAsia"/>
                <w:color w:val="auto"/>
                <w:highlight w:val="none"/>
              </w:rPr>
              <w:t>14．检查被测装置与客户端通信连接断开后产生的完整性报告应缓存，客户端在使能前写入中断前收到最后一个完整性报告的EntryID值，则被测装置通信中断过程中缓存的完整性周期事件应在BRCB使能后从写入EntryID条目的下一个开始按照正确的时间顺序上送</w:t>
            </w:r>
          </w:p>
          <w:p>
            <w:pPr>
              <w:rPr>
                <w:color w:val="auto"/>
                <w:highlight w:val="none"/>
              </w:rPr>
            </w:pPr>
            <w:r>
              <w:rPr>
                <w:rFonts w:hint="eastAsia"/>
                <w:color w:val="auto"/>
                <w:highlight w:val="none"/>
              </w:rPr>
              <w:t>15．检查在BRCB下列属性（RptID, BufTm, TrgOps, IntgPd, DatSet）支持通过SetBRCBValues服务可以在线修改的前提下，修改BRCB的RptID, BufTm, TrgOps, IntgPd, DatSet属性起到清除报告缓存队列的效果。修改OptFlds属性不应该清除缓存队列(IEC 61850‐7‐2 表37)</w:t>
            </w:r>
          </w:p>
          <w:p>
            <w:pPr>
              <w:rPr>
                <w:color w:val="auto"/>
                <w:highlight w:val="none"/>
              </w:rPr>
            </w:pPr>
            <w:r>
              <w:rPr>
                <w:rFonts w:hint="eastAsia"/>
                <w:color w:val="auto"/>
                <w:highlight w:val="none"/>
              </w:rPr>
              <w:t>16．检查写入BRCB的EntryID值未知（不存在）、全0时，被测装置的响应：</w:t>
            </w:r>
          </w:p>
          <w:p>
            <w:pPr>
              <w:rPr>
                <w:color w:val="auto"/>
                <w:highlight w:val="none"/>
              </w:rPr>
            </w:pPr>
            <w:r>
              <w:rPr>
                <w:rFonts w:hint="eastAsia"/>
                <w:color w:val="auto"/>
                <w:highlight w:val="none"/>
              </w:rPr>
              <w:t>写入EntryID值未知（不存在）时，被测装置回复差错响应，错误类型为“object-value-invalid”</w:t>
            </w:r>
          </w:p>
          <w:p>
            <w:pPr>
              <w:rPr>
                <w:color w:val="auto"/>
                <w:highlight w:val="none"/>
              </w:rPr>
            </w:pPr>
            <w:r>
              <w:rPr>
                <w:rFonts w:hint="eastAsia"/>
                <w:color w:val="auto"/>
                <w:highlight w:val="none"/>
              </w:rPr>
              <w:t>写入EntryID值全为0时，被测装置回复肯定响应；被测装置响应客户端GetBRCBValues（EntryID）服务为最后一个进入报告缓存队列的EntryID值；BRCB使能后，按照正确的时间顺序上送缓冲队列中所有已发送过和未发送过的事件报告，且只有上送的第一个报告中buffer-overflow=True</w:t>
            </w:r>
          </w:p>
          <w:p>
            <w:pPr>
              <w:rPr>
                <w:color w:val="auto"/>
                <w:highlight w:val="none"/>
              </w:rPr>
            </w:pPr>
            <w:r>
              <w:rPr>
                <w:rFonts w:hint="eastAsia"/>
                <w:color w:val="auto"/>
                <w:highlight w:val="none"/>
              </w:rPr>
              <w:t>17．检查BRCB属性RptEna=FALSE时，被测装置对客户端GetBRCBValues（EntryID）服务返回的EntryID值应为最后一个进入的报告缓存队列中的条目号值；当RptEna=TRUE时，被测装置对客户端GetBRCBValues（EntryID）服务返回的EntryID值应为队列中刚发送过报告的EntryID值</w:t>
            </w:r>
          </w:p>
          <w:p>
            <w:pPr>
              <w:rPr>
                <w:color w:val="auto"/>
                <w:highlight w:val="none"/>
              </w:rPr>
            </w:pPr>
            <w:r>
              <w:rPr>
                <w:rFonts w:hint="eastAsia"/>
                <w:color w:val="auto"/>
                <w:highlight w:val="none"/>
              </w:rPr>
              <w:t>18．检查BRCB在使能状态下连续收到多次GI请求上送的多次GI报告，但在BRCB条目队列中却只存有最后一次的GI报告，因此在BRCB设置EntryID值全为0并重新使能后，按照时序上送的所有报告中只包含最后一次GI报告。</w:t>
            </w:r>
          </w:p>
          <w:p>
            <w:pPr>
              <w:rPr>
                <w:color w:val="auto"/>
                <w:highlight w:val="none"/>
              </w:rPr>
            </w:pPr>
            <w:r>
              <w:rPr>
                <w:rFonts w:hint="eastAsia"/>
                <w:color w:val="auto"/>
                <w:highlight w:val="none"/>
              </w:rPr>
              <w:t>19．客户端下发带有错误参数（对象未知，名称用例不匹配，逻辑设备错误或逻辑节点错误）的GetURCBValue/GetBRCBValue请求，检查被测装置服务差错响应的错误类型为“object-non-existent”</w:t>
            </w:r>
          </w:p>
          <w:p>
            <w:pPr>
              <w:rPr>
                <w:color w:val="auto"/>
                <w:highlight w:val="none"/>
              </w:rPr>
            </w:pPr>
            <w:r>
              <w:rPr>
                <w:rFonts w:hint="eastAsia"/>
                <w:color w:val="auto"/>
                <w:highlight w:val="none"/>
              </w:rPr>
              <w:t>20．检查被测装置不配置任何触发选项，报告控制块使能后即使有事件产生也不发送报告</w:t>
            </w:r>
          </w:p>
          <w:p>
            <w:pPr>
              <w:rPr>
                <w:color w:val="auto"/>
                <w:highlight w:val="none"/>
              </w:rPr>
            </w:pPr>
            <w:r>
              <w:rPr>
                <w:rFonts w:hint="eastAsia"/>
                <w:color w:val="auto"/>
                <w:highlight w:val="none"/>
              </w:rPr>
              <w:t>21．检查报告控制块完整性周期属性值为 0时，即使触发选项中完整性周期位为1，使能报告控制块也不发送完整性报告</w:t>
            </w:r>
          </w:p>
          <w:p>
            <w:pPr>
              <w:rPr>
                <w:color w:val="auto"/>
                <w:highlight w:val="none"/>
              </w:rPr>
            </w:pPr>
            <w:r>
              <w:rPr>
                <w:rFonts w:hint="eastAsia"/>
                <w:color w:val="auto"/>
                <w:highlight w:val="none"/>
              </w:rPr>
              <w:t>22．检查报告控制块仅设置触发选项中总召位为1其他触发选项位为0，使能报告控制块后产生事件不上送任何报告</w:t>
            </w:r>
          </w:p>
          <w:p>
            <w:pPr>
              <w:rPr>
                <w:color w:val="auto"/>
                <w:highlight w:val="none"/>
              </w:rPr>
            </w:pPr>
            <w:r>
              <w:rPr>
                <w:rFonts w:hint="eastAsia"/>
                <w:color w:val="auto"/>
                <w:highlight w:val="none"/>
              </w:rPr>
              <w:t>23．报告控制块的错误配置：</w:t>
            </w:r>
          </w:p>
          <w:p>
            <w:pPr>
              <w:rPr>
                <w:color w:val="auto"/>
                <w:highlight w:val="none"/>
              </w:rPr>
            </w:pPr>
            <w:r>
              <w:rPr>
                <w:rFonts w:hint="eastAsia"/>
                <w:color w:val="auto"/>
                <w:highlight w:val="none"/>
              </w:rPr>
              <w:t>检查在使能时配置可写属性如“RptID、DatSet、OptFlds、BufTm、TrgOps、IntgPd”，响应为服务差错“temporarily‐unavailable”；</w:t>
            </w:r>
          </w:p>
          <w:p>
            <w:pPr>
              <w:rPr>
                <w:color w:val="auto"/>
                <w:highlight w:val="none"/>
              </w:rPr>
            </w:pPr>
            <w:r>
              <w:rPr>
                <w:rFonts w:hint="eastAsia"/>
                <w:color w:val="auto"/>
                <w:highlight w:val="none"/>
              </w:rPr>
              <w:t>检查在未使能时配置不可写属性如ConfRev、SqNum以及模型文件中声明为“fix” or “conf”的属性，响应为服务差错“object-access-denied”；</w:t>
            </w:r>
          </w:p>
          <w:p>
            <w:pPr>
              <w:rPr>
                <w:color w:val="auto"/>
                <w:highlight w:val="none"/>
              </w:rPr>
            </w:pPr>
            <w:r>
              <w:rPr>
                <w:rFonts w:hint="eastAsia"/>
                <w:color w:val="auto"/>
                <w:highlight w:val="none"/>
              </w:rPr>
              <w:t>检查在未使能时配置可写属性但写入的属性值不满足要求时，如DataSet，响应为服务差错“object-value-invalid”</w:t>
            </w:r>
          </w:p>
          <w:p>
            <w:pPr>
              <w:rPr>
                <w:color w:val="auto"/>
                <w:highlight w:val="none"/>
              </w:rPr>
            </w:pPr>
            <w:r>
              <w:rPr>
                <w:rFonts w:hint="eastAsia"/>
                <w:color w:val="auto"/>
                <w:highlight w:val="none"/>
              </w:rPr>
              <w:t>24．配置 URCB并设置 Resv属性并使能它。另一个客户端应不能设置这个 URCB的任何属性，被测装置对另外一个客户端的SetURCBValues请求写可写属性回复否定响应，错误类型为“temporarily-unavailable”</w:t>
            </w:r>
          </w:p>
          <w:p>
            <w:pPr>
              <w:rPr>
                <w:color w:val="auto"/>
                <w:highlight w:val="none"/>
              </w:rPr>
            </w:pPr>
            <w:r>
              <w:rPr>
                <w:rFonts w:hint="eastAsia"/>
                <w:color w:val="auto"/>
                <w:highlight w:val="none"/>
              </w:rPr>
              <w:t>25．配置并使能BRCB。另一个客户端不能设置这个BRCB的任何属性，被测装置对另外一个客户端的SetURCBValues请求写可写属性回复否定响应，错误类型为“temporarily-unavailable”</w:t>
            </w:r>
          </w:p>
          <w:p>
            <w:pPr>
              <w:rPr>
                <w:color w:val="auto"/>
                <w:highlight w:val="none"/>
              </w:rPr>
            </w:pPr>
            <w:r>
              <w:rPr>
                <w:rFonts w:hint="eastAsia"/>
                <w:color w:val="auto"/>
                <w:highlight w:val="none"/>
              </w:rPr>
              <w:t>26．检查</w:t>
            </w:r>
          </w:p>
          <w:p>
            <w:pPr>
              <w:rPr>
                <w:color w:val="auto"/>
                <w:highlight w:val="none"/>
              </w:rPr>
            </w:pPr>
            <w:r>
              <w:rPr>
                <w:rFonts w:hint="eastAsia"/>
                <w:color w:val="auto"/>
                <w:highlight w:val="none"/>
              </w:rPr>
              <w:t>客户端使能触发选项中GI位为0的报告控制块，设置属性GI=TRUE进行总召唤，被测装置回复肯定响应但不上送总召报告</w:t>
            </w:r>
          </w:p>
          <w:p>
            <w:pPr>
              <w:rPr>
                <w:color w:val="auto"/>
                <w:highlight w:val="none"/>
              </w:rPr>
            </w:pPr>
            <w:r>
              <w:rPr>
                <w:rFonts w:hint="eastAsia"/>
                <w:color w:val="auto"/>
                <w:highlight w:val="none"/>
              </w:rPr>
              <w:t>客户端停止报告控制块同时置触发选项中GI位为1，设置属性GI=TRUE进行总召唤，被测装置回复否定响应，错误类型为“temporarily unavailable”</w:t>
            </w:r>
          </w:p>
          <w:p>
            <w:pPr>
              <w:rPr>
                <w:color w:val="auto"/>
                <w:highlight w:val="none"/>
              </w:rPr>
            </w:pPr>
            <w:r>
              <w:rPr>
                <w:rFonts w:hint="eastAsia"/>
                <w:color w:val="auto"/>
                <w:highlight w:val="none"/>
              </w:rPr>
              <w:t>客户端使能触发选项中GI位为1的报告控制块，设置属性GI=False，被测装置回复肯定响应但不上送总召报告</w:t>
            </w:r>
          </w:p>
          <w:p>
            <w:pPr>
              <w:rPr>
                <w:color w:val="auto"/>
                <w:highlight w:val="none"/>
              </w:rPr>
            </w:pPr>
            <w:r>
              <w:rPr>
                <w:rFonts w:hint="eastAsia"/>
                <w:color w:val="auto"/>
                <w:highlight w:val="none"/>
              </w:rPr>
              <w:t>客户端使能触发选项中GI位为1的报告控制块，设置属性GI=TRUE，被测装置回复肯定响应并上送总召报告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58" w:name="_Toc528273641"/>
      <w:bookmarkStart w:id="359" w:name="_Toc484019025"/>
      <w:bookmarkStart w:id="360" w:name="_Toc396838373"/>
      <w:bookmarkStart w:id="361" w:name="_Toc434055589"/>
      <w:bookmarkStart w:id="362" w:name="_Toc367604602"/>
      <w:bookmarkStart w:id="363" w:name="_Toc393615280"/>
      <w:bookmarkStart w:id="364" w:name="_Toc383525303"/>
      <w:bookmarkStart w:id="365" w:name="_Toc434056632"/>
      <w:bookmarkStart w:id="366" w:name="_Toc355437852"/>
      <w:r>
        <w:rPr>
          <w:rFonts w:hint="eastAsia"/>
          <w:color w:val="auto"/>
          <w:highlight w:val="none"/>
        </w:rPr>
        <w:t xml:space="preserve">B.9 </w:t>
      </w:r>
      <w:r>
        <w:rPr>
          <w:color w:val="auto"/>
          <w:highlight w:val="none"/>
        </w:rPr>
        <w:t>定值组模型测试</w:t>
      </w:r>
      <w:bookmarkEnd w:id="358"/>
      <w:bookmarkEnd w:id="35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定值组模型测试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Temp-Ser09</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被测装置的定值组功能符合标准要求。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1．装置支持GetLogicalNodeDirectory（SGCB）；</w:t>
            </w:r>
          </w:p>
          <w:p>
            <w:pPr>
              <w:rPr>
                <w:color w:val="auto"/>
                <w:highlight w:val="none"/>
              </w:rPr>
            </w:pPr>
            <w:r>
              <w:rPr>
                <w:rFonts w:hint="eastAsia"/>
                <w:color w:val="auto"/>
                <w:highlight w:val="none"/>
              </w:rPr>
              <w:t>2. 站控层设备修改保护定值过程中，装置不应断开与站控层通信连接；</w:t>
            </w:r>
          </w:p>
          <w:p>
            <w:pPr>
              <w:rPr>
                <w:color w:val="auto"/>
                <w:highlight w:val="none"/>
              </w:rPr>
            </w:pPr>
            <w:r>
              <w:rPr>
                <w:rFonts w:hint="eastAsia"/>
                <w:color w:val="auto"/>
                <w:highlight w:val="none"/>
              </w:rPr>
              <w:t>3. 站控层设备切换定值区过程中，装置不应断开与站控层通信连接；</w:t>
            </w:r>
          </w:p>
          <w:p>
            <w:pPr>
              <w:rPr>
                <w:color w:val="auto"/>
                <w:highlight w:val="none"/>
              </w:rPr>
            </w:pPr>
            <w:r>
              <w:rPr>
                <w:rFonts w:hint="eastAsia"/>
                <w:color w:val="auto"/>
                <w:highlight w:val="none"/>
              </w:rPr>
              <w:t>4. 检查断开关联后客户可再次使用 SelectEditSg将值复制到编辑缓冲器；</w:t>
            </w:r>
          </w:p>
          <w:p>
            <w:pPr>
              <w:rPr>
                <w:color w:val="auto"/>
                <w:highlight w:val="none"/>
              </w:rPr>
            </w:pPr>
            <w:r>
              <w:rPr>
                <w:rFonts w:hint="eastAsia"/>
                <w:color w:val="auto"/>
                <w:highlight w:val="none"/>
              </w:rPr>
              <w:t>5. 站控层使用 SetSGValuess （设置定值组值）服务，可仅下发修改的定值条目，也可下发全定值条目，装置宜支持两种写定值方式；</w:t>
            </w:r>
          </w:p>
          <w:p>
            <w:pPr>
              <w:rPr>
                <w:color w:val="auto"/>
                <w:highlight w:val="none"/>
              </w:rPr>
            </w:pPr>
            <w:r>
              <w:rPr>
                <w:rFonts w:hint="eastAsia"/>
                <w:color w:val="auto"/>
                <w:highlight w:val="none"/>
              </w:rPr>
              <w:t>6. 站控层使用 SetSGValuess （设置定值组值）服务，下发的定值条目的 Reference 可到FCD也可到 FCDA层次，装置宜支持两种 Reference</w:t>
            </w:r>
          </w:p>
          <w:p>
            <w:pPr>
              <w:rPr>
                <w:color w:val="auto"/>
                <w:highlight w:val="none"/>
              </w:rPr>
            </w:pPr>
            <w:r>
              <w:rPr>
                <w:rFonts w:hint="eastAsia"/>
                <w:color w:val="auto"/>
                <w:highlight w:val="none"/>
              </w:rPr>
              <w:t>7．请求带有错误参数（值超范围或不存在的定值组）的定值组服务，装置响应为服务差错；</w:t>
            </w:r>
          </w:p>
          <w:p>
            <w:pPr>
              <w:rPr>
                <w:color w:val="auto"/>
                <w:highlight w:val="none"/>
              </w:rPr>
            </w:pPr>
            <w:r>
              <w:rPr>
                <w:rFonts w:hint="eastAsia"/>
                <w:color w:val="auto"/>
                <w:highlight w:val="none"/>
              </w:rPr>
              <w:t>8. 客户端使用SetSGValues服务请求编辑 FC=SG的定值数据对象，被测装置响应为服务差错“object-access-denied”；</w:t>
            </w:r>
          </w:p>
          <w:p>
            <w:pPr>
              <w:rPr>
                <w:color w:val="auto"/>
                <w:highlight w:val="none"/>
              </w:rPr>
            </w:pPr>
            <w:r>
              <w:rPr>
                <w:rFonts w:hint="eastAsia"/>
                <w:color w:val="auto"/>
                <w:highlight w:val="none"/>
              </w:rPr>
              <w:t>9. 当EditSG=0时，请求SetSGValues，装置响应为服务差错“object-access-denied”；</w:t>
            </w:r>
          </w:p>
          <w:p>
            <w:pPr>
              <w:rPr>
                <w:color w:val="auto"/>
                <w:highlight w:val="none"/>
              </w:rPr>
            </w:pPr>
            <w:r>
              <w:rPr>
                <w:rFonts w:hint="eastAsia"/>
                <w:color w:val="auto"/>
                <w:highlight w:val="none"/>
              </w:rPr>
              <w:t>10. 未确认的编辑区定值可被客户端使用 SelectEditSg刷新覆盖，刷新值为SelectEditSg选择的定值区定值，未确认的已编辑定值不保存；</w:t>
            </w:r>
          </w:p>
          <w:p>
            <w:pPr>
              <w:rPr>
                <w:color w:val="auto"/>
                <w:highlight w:val="none"/>
              </w:rPr>
            </w:pPr>
            <w:r>
              <w:rPr>
                <w:rFonts w:hint="eastAsia"/>
                <w:color w:val="auto"/>
                <w:highlight w:val="none"/>
              </w:rPr>
              <w:t>11. 装置允许对当前激活定值区定值进行编辑并确认，确认后定值应立即生效。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 客户端下发GetLogicalNodeDirectory（SGCB）请求，对每个响应的定值组控制块下发GetSGCBValues请求读取属性值，被测装置应能正确响应；</w:t>
            </w:r>
          </w:p>
          <w:p>
            <w:pPr>
              <w:rPr>
                <w:color w:val="auto"/>
                <w:highlight w:val="none"/>
              </w:rPr>
            </w:pPr>
            <w:r>
              <w:rPr>
                <w:rFonts w:hint="eastAsia"/>
                <w:color w:val="auto"/>
                <w:highlight w:val="none"/>
              </w:rPr>
              <w:t>2．按下述步骤检查定值组控制块状态机（DL/T 860.72的13章及图18）</w:t>
            </w:r>
          </w:p>
          <w:p>
            <w:pPr>
              <w:rPr>
                <w:color w:val="auto"/>
                <w:highlight w:val="none"/>
              </w:rPr>
            </w:pPr>
            <w:r>
              <w:rPr>
                <w:rFonts w:hint="eastAsia"/>
                <w:color w:val="auto"/>
                <w:highlight w:val="none"/>
              </w:rPr>
              <w:t>使用SelectEditSGValues选择编辑区，被测装置应能正确响应</w:t>
            </w:r>
          </w:p>
          <w:p>
            <w:pPr>
              <w:rPr>
                <w:color w:val="auto"/>
                <w:highlight w:val="none"/>
              </w:rPr>
            </w:pPr>
            <w:r>
              <w:rPr>
                <w:rFonts w:hint="eastAsia"/>
                <w:color w:val="auto"/>
                <w:highlight w:val="none"/>
              </w:rPr>
              <w:t>对编辑区中每种数据类型的定值使用setSGValues [FC=SE]改变至少一个数据对象的值</w:t>
            </w:r>
          </w:p>
          <w:p>
            <w:pPr>
              <w:rPr>
                <w:color w:val="auto"/>
                <w:highlight w:val="none"/>
              </w:rPr>
            </w:pPr>
            <w:r>
              <w:rPr>
                <w:rFonts w:hint="eastAsia"/>
                <w:color w:val="auto"/>
                <w:highlight w:val="none"/>
              </w:rPr>
              <w:t>使用GetSGValues [FC=SE]检验编辑值写入成功</w:t>
            </w:r>
          </w:p>
          <w:p>
            <w:pPr>
              <w:rPr>
                <w:color w:val="auto"/>
                <w:highlight w:val="none"/>
              </w:rPr>
            </w:pPr>
            <w:r>
              <w:rPr>
                <w:rFonts w:hint="eastAsia"/>
                <w:color w:val="auto"/>
                <w:highlight w:val="none"/>
              </w:rPr>
              <w:t>使用ConfirmEditSgValues确认编辑</w:t>
            </w:r>
          </w:p>
          <w:p>
            <w:pPr>
              <w:rPr>
                <w:color w:val="auto"/>
                <w:highlight w:val="none"/>
              </w:rPr>
            </w:pPr>
            <w:r>
              <w:rPr>
                <w:rFonts w:hint="eastAsia"/>
                <w:color w:val="auto"/>
                <w:highlight w:val="none"/>
              </w:rPr>
              <w:t>站控层设备修改保护定值过程中，装置不应断开与站控层通信连接。</w:t>
            </w:r>
          </w:p>
          <w:p>
            <w:pPr>
              <w:rPr>
                <w:color w:val="auto"/>
                <w:highlight w:val="none"/>
              </w:rPr>
            </w:pPr>
            <w:r>
              <w:rPr>
                <w:rFonts w:hint="eastAsia"/>
                <w:color w:val="auto"/>
                <w:highlight w:val="none"/>
              </w:rPr>
              <w:t>3. 下述步骤检查定值组控制块状态机（DL/T 860.72的 13章及图 18）</w:t>
            </w:r>
          </w:p>
          <w:p>
            <w:pPr>
              <w:rPr>
                <w:color w:val="auto"/>
                <w:highlight w:val="none"/>
              </w:rPr>
            </w:pPr>
            <w:r>
              <w:rPr>
                <w:rFonts w:hint="eastAsia"/>
                <w:color w:val="auto"/>
                <w:highlight w:val="none"/>
              </w:rPr>
              <w:t>使用SelectActiveSG切至定值1区，并请求GetSGCBValues获取当前定值区号为1</w:t>
            </w:r>
          </w:p>
          <w:p>
            <w:pPr>
              <w:rPr>
                <w:color w:val="auto"/>
                <w:highlight w:val="none"/>
              </w:rPr>
            </w:pPr>
            <w:r>
              <w:rPr>
                <w:rFonts w:hint="eastAsia"/>
                <w:color w:val="auto"/>
                <w:highlight w:val="none"/>
              </w:rPr>
              <w:t>使用 GetSGValues[FC=SG]检查定值为1区定值</w:t>
            </w:r>
          </w:p>
          <w:p>
            <w:pPr>
              <w:rPr>
                <w:color w:val="auto"/>
                <w:highlight w:val="none"/>
              </w:rPr>
            </w:pPr>
            <w:r>
              <w:rPr>
                <w:rFonts w:hint="eastAsia"/>
                <w:color w:val="auto"/>
                <w:highlight w:val="none"/>
              </w:rPr>
              <w:t>重复所有定值区</w:t>
            </w:r>
          </w:p>
          <w:p>
            <w:pPr>
              <w:rPr>
                <w:color w:val="auto"/>
                <w:highlight w:val="none"/>
              </w:rPr>
            </w:pPr>
            <w:r>
              <w:rPr>
                <w:rFonts w:hint="eastAsia"/>
                <w:color w:val="auto"/>
                <w:highlight w:val="none"/>
              </w:rPr>
              <w:t>站控层设备切换定值区过程中，装置不应断开与站控层通信连接。</w:t>
            </w:r>
          </w:p>
          <w:p>
            <w:pPr>
              <w:rPr>
                <w:color w:val="auto"/>
                <w:highlight w:val="none"/>
              </w:rPr>
            </w:pPr>
            <w:r>
              <w:rPr>
                <w:rFonts w:hint="eastAsia"/>
                <w:color w:val="auto"/>
                <w:highlight w:val="none"/>
              </w:rPr>
              <w:t>4.检查未确认的编辑区定值在被测装置与客户端连接中断并恢复后，可被SelectEditSg选择的定值区定值覆盖，未确认的已编辑定值不保存（DL/T 860.72的 13.3.3.1）</w:t>
            </w:r>
          </w:p>
          <w:p>
            <w:pPr>
              <w:rPr>
                <w:color w:val="auto"/>
                <w:highlight w:val="none"/>
              </w:rPr>
            </w:pPr>
            <w:r>
              <w:rPr>
                <w:rFonts w:hint="eastAsia"/>
                <w:color w:val="auto"/>
                <w:highlight w:val="none"/>
              </w:rPr>
              <w:t>5. 站控层使用 SetSGValuess （设置定值组值）服务，可仅下发修改的定值条目，也可下发全定值条目，装置宜支持两种写定值方式；</w:t>
            </w:r>
          </w:p>
          <w:p>
            <w:pPr>
              <w:rPr>
                <w:color w:val="auto"/>
                <w:highlight w:val="none"/>
              </w:rPr>
            </w:pPr>
            <w:r>
              <w:rPr>
                <w:rFonts w:hint="eastAsia"/>
                <w:color w:val="auto"/>
                <w:highlight w:val="none"/>
              </w:rPr>
              <w:t>6. 站控层使用 SetSGValuess （设置定值组值）服务，下发的定值条目的 Reference 可到FCD也可到 FCDA层次，装置宜支持两种 Reference</w:t>
            </w:r>
          </w:p>
          <w:p>
            <w:pPr>
              <w:rPr>
                <w:color w:val="auto"/>
                <w:highlight w:val="none"/>
              </w:rPr>
            </w:pPr>
            <w:r>
              <w:rPr>
                <w:rFonts w:hint="eastAsia"/>
                <w:color w:val="auto"/>
                <w:highlight w:val="none"/>
              </w:rPr>
              <w:t>7. 请求带有错误参数（值超范围或不存在的定值组）的下列定值组服务，并检查响应为服务差错：</w:t>
            </w:r>
          </w:p>
          <w:p>
            <w:pPr>
              <w:rPr>
                <w:color w:val="auto"/>
                <w:highlight w:val="none"/>
              </w:rPr>
            </w:pPr>
            <w:r>
              <w:rPr>
                <w:rFonts w:hint="eastAsia"/>
                <w:color w:val="auto"/>
                <w:highlight w:val="none"/>
              </w:rPr>
              <w:t xml:space="preserve">SelectActiveSG选择的定值区号为0或超范围(DL/T 860.72的 13.3.2) </w:t>
            </w:r>
          </w:p>
          <w:p>
            <w:pPr>
              <w:rPr>
                <w:color w:val="auto"/>
                <w:highlight w:val="none"/>
              </w:rPr>
            </w:pPr>
            <w:r>
              <w:rPr>
                <w:rFonts w:hint="eastAsia"/>
                <w:color w:val="auto"/>
                <w:highlight w:val="none"/>
              </w:rPr>
              <w:t>SelectEdi</w:t>
            </w:r>
            <w:r>
              <w:rPr>
                <w:color w:val="auto"/>
                <w:highlight w:val="none"/>
              </w:rPr>
              <w:t>t</w:t>
            </w:r>
            <w:r>
              <w:rPr>
                <w:rFonts w:hint="eastAsia"/>
                <w:color w:val="auto"/>
                <w:highlight w:val="none"/>
              </w:rPr>
              <w:t xml:space="preserve">SG选择的定值区号超范围(DL/T 860.72 的13.3.3) </w:t>
            </w:r>
          </w:p>
          <w:p>
            <w:pPr>
              <w:rPr>
                <w:color w:val="auto"/>
                <w:highlight w:val="none"/>
              </w:rPr>
            </w:pPr>
            <w:r>
              <w:rPr>
                <w:rFonts w:hint="eastAsia"/>
                <w:color w:val="auto"/>
                <w:highlight w:val="none"/>
              </w:rPr>
              <w:t xml:space="preserve">SetSGValues设置的定值对象包含错误路径的服务差错类型为“object-non-existent”(DL/T 860.72的 13.3.4) </w:t>
            </w:r>
          </w:p>
          <w:p>
            <w:pPr>
              <w:rPr>
                <w:color w:val="auto"/>
                <w:highlight w:val="none"/>
              </w:rPr>
            </w:pPr>
            <w:r>
              <w:rPr>
                <w:rFonts w:hint="eastAsia"/>
                <w:color w:val="auto"/>
                <w:highlight w:val="none"/>
              </w:rPr>
              <w:t xml:space="preserve">ConfirmEditSgValues设置的对象包含错误路径的服务差错类型为“object-non-existent”(DL/T 860.72的 13.3.5) </w:t>
            </w:r>
          </w:p>
          <w:p>
            <w:pPr>
              <w:rPr>
                <w:color w:val="auto"/>
                <w:highlight w:val="none"/>
              </w:rPr>
            </w:pPr>
            <w:r>
              <w:rPr>
                <w:rFonts w:hint="eastAsia"/>
                <w:color w:val="auto"/>
                <w:highlight w:val="none"/>
              </w:rPr>
              <w:t xml:space="preserve">GetSGValues读取的定值对象包含错误路径的服务差错类型为“object-non-existent”(DL/T 860.72的 13.3.6) </w:t>
            </w:r>
          </w:p>
          <w:p>
            <w:pPr>
              <w:rPr>
                <w:color w:val="auto"/>
                <w:highlight w:val="none"/>
              </w:rPr>
            </w:pPr>
            <w:r>
              <w:rPr>
                <w:rFonts w:hint="eastAsia"/>
                <w:color w:val="auto"/>
                <w:highlight w:val="none"/>
              </w:rPr>
              <w:t>GetSGCBValues读取的定值对象包含错误路径的服务差错类型为“object-non-existent”(DL/T 860.72的 13.3.7)；</w:t>
            </w:r>
          </w:p>
          <w:p>
            <w:pPr>
              <w:rPr>
                <w:color w:val="auto"/>
                <w:highlight w:val="none"/>
              </w:rPr>
            </w:pPr>
            <w:r>
              <w:rPr>
                <w:rFonts w:hint="eastAsia"/>
                <w:color w:val="auto"/>
                <w:highlight w:val="none"/>
              </w:rPr>
              <w:t>8. 客户端使用SetSGValues服务请求编辑 FC=SG的定值数据对象，被测装置响应为服务差错“object-access-denied”；</w:t>
            </w:r>
          </w:p>
          <w:p>
            <w:pPr>
              <w:rPr>
                <w:color w:val="auto"/>
                <w:highlight w:val="none"/>
              </w:rPr>
            </w:pPr>
            <w:r>
              <w:rPr>
                <w:rFonts w:hint="eastAsia"/>
                <w:color w:val="auto"/>
                <w:highlight w:val="none"/>
              </w:rPr>
              <w:t>9. 当EditSG=0时，客户端使用SetSGValues[FC=SE]编辑定值对象，并检查响应为服务差错“object-access-denied”；</w:t>
            </w:r>
          </w:p>
          <w:p>
            <w:pPr>
              <w:rPr>
                <w:color w:val="auto"/>
                <w:highlight w:val="none"/>
              </w:rPr>
            </w:pPr>
            <w:r>
              <w:rPr>
                <w:rFonts w:hint="eastAsia"/>
                <w:color w:val="auto"/>
                <w:highlight w:val="none"/>
              </w:rPr>
              <w:t>10. 检查未确认的编辑区定值可被客户端使用 SelectEditSg刷新覆盖，刷新值为SelectEditSg选择的定值区定值，未确认的已编辑定值不保存（DL/T 860.72的 13.3.3.1）；</w:t>
            </w:r>
          </w:p>
          <w:p>
            <w:pPr>
              <w:rPr>
                <w:color w:val="auto"/>
                <w:highlight w:val="none"/>
              </w:rPr>
            </w:pPr>
            <w:r>
              <w:rPr>
                <w:rFonts w:hint="eastAsia"/>
                <w:color w:val="auto"/>
                <w:highlight w:val="none"/>
              </w:rPr>
              <w:t>11. 允许对当前激活定值区定值进行编辑并确认，确认后定值应立即生效。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bookmarkEnd w:id="360"/>
      <w:bookmarkEnd w:id="361"/>
      <w:bookmarkEnd w:id="362"/>
      <w:bookmarkEnd w:id="363"/>
      <w:bookmarkEnd w:id="364"/>
      <w:bookmarkEnd w:id="365"/>
      <w:bookmarkEnd w:id="366"/>
    </w:tbl>
    <w:p>
      <w:pPr>
        <w:rPr>
          <w:color w:val="auto"/>
          <w:highlight w:val="none"/>
        </w:rPr>
      </w:pPr>
      <w:bookmarkStart w:id="367" w:name="_Toc434055590"/>
      <w:bookmarkStart w:id="368" w:name="_Toc396838374"/>
      <w:bookmarkStart w:id="369" w:name="_Toc434056633"/>
      <w:bookmarkStart w:id="370" w:name="_Toc355437853"/>
      <w:bookmarkStart w:id="371" w:name="_Toc367604603"/>
      <w:bookmarkStart w:id="372" w:name="_Toc383525304"/>
      <w:bookmarkStart w:id="373" w:name="_Toc393615281"/>
    </w:p>
    <w:p>
      <w:pPr>
        <w:outlineLvl w:val="2"/>
        <w:rPr>
          <w:color w:val="auto"/>
          <w:highlight w:val="none"/>
        </w:rPr>
      </w:pPr>
      <w:bookmarkStart w:id="374" w:name="_Toc484019026"/>
      <w:bookmarkStart w:id="375" w:name="_Toc528273642"/>
      <w:r>
        <w:rPr>
          <w:rFonts w:hint="eastAsia"/>
          <w:color w:val="auto"/>
          <w:highlight w:val="none"/>
        </w:rPr>
        <w:t xml:space="preserve">B.10 </w:t>
      </w:r>
      <w:r>
        <w:rPr>
          <w:color w:val="auto"/>
          <w:highlight w:val="none"/>
        </w:rPr>
        <w:t>控制模型测试</w:t>
      </w:r>
      <w:bookmarkEnd w:id="374"/>
      <w:bookmarkEnd w:id="37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控制模型测试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rFonts w:hint="eastAsia"/>
                <w:color w:val="auto"/>
                <w:highlight w:val="none"/>
              </w:rPr>
              <w:t>Temp-Ser10</w:t>
            </w:r>
            <w:r>
              <w:rPr>
                <w:rFonts w:hint="eastAsia"/>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DL/T860一致性测试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被测装置的控制功能符合标准要求。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 控制对象的控制模式应与PIXIT Ct1声明支持的控制模式一致</w:t>
            </w:r>
          </w:p>
          <w:p>
            <w:pPr>
              <w:rPr>
                <w:color w:val="auto"/>
                <w:highlight w:val="none"/>
              </w:rPr>
            </w:pPr>
            <w:r>
              <w:rPr>
                <w:rFonts w:hint="eastAsia"/>
                <w:color w:val="auto"/>
                <w:highlight w:val="none"/>
              </w:rPr>
              <w:t>2. 客户端下发Test flag=True的遥控命令时，被测装置应按照PIXIT Ct5描述响应</w:t>
            </w:r>
          </w:p>
          <w:p>
            <w:pPr>
              <w:rPr>
                <w:color w:val="auto"/>
                <w:highlight w:val="none"/>
              </w:rPr>
            </w:pPr>
            <w:r>
              <w:rPr>
                <w:rFonts w:hint="eastAsia"/>
                <w:color w:val="auto"/>
                <w:highlight w:val="none"/>
              </w:rPr>
              <w:t>3. 客户端同时选择多个SBO对象，被测装置应按照PIXIT Ct22描述响应：</w:t>
            </w:r>
          </w:p>
          <w:p>
            <w:pPr>
              <w:rPr>
                <w:color w:val="auto"/>
                <w:highlight w:val="none"/>
              </w:rPr>
            </w:pPr>
            <w:r>
              <w:rPr>
                <w:rFonts w:hint="eastAsia"/>
                <w:color w:val="auto"/>
                <w:highlight w:val="none"/>
              </w:rPr>
              <w:t>4. 客户端直接Operate处于未选择状态的 SBO控制对象，被测装置的响应：</w:t>
            </w:r>
          </w:p>
          <w:p>
            <w:pPr>
              <w:rPr>
                <w:color w:val="auto"/>
                <w:highlight w:val="none"/>
              </w:rPr>
            </w:pPr>
            <w:r>
              <w:rPr>
                <w:rFonts w:hint="eastAsia"/>
                <w:color w:val="auto"/>
                <w:highlight w:val="none"/>
              </w:rPr>
              <w:t>若控制对象为SBOns对象，被测装置回复服务差错</w:t>
            </w:r>
          </w:p>
          <w:p>
            <w:pPr>
              <w:rPr>
                <w:color w:val="auto"/>
                <w:highlight w:val="none"/>
              </w:rPr>
            </w:pPr>
            <w:r>
              <w:rPr>
                <w:rFonts w:hint="eastAsia"/>
                <w:color w:val="auto"/>
                <w:highlight w:val="none"/>
              </w:rPr>
              <w:t>若控制对象为SBOes对象，对于互锁对象应回复服务差错且上送错误原因报告中错误原因为“object-not-select”</w:t>
            </w:r>
          </w:p>
          <w:p>
            <w:pPr>
              <w:rPr>
                <w:color w:val="auto"/>
                <w:highlight w:val="none"/>
              </w:rPr>
            </w:pPr>
            <w:r>
              <w:rPr>
                <w:rFonts w:hint="eastAsia"/>
                <w:color w:val="auto"/>
                <w:highlight w:val="none"/>
              </w:rPr>
              <w:t>控制对象的未选择状态仍然保持</w:t>
            </w:r>
          </w:p>
          <w:p>
            <w:pPr>
              <w:rPr>
                <w:color w:val="auto"/>
                <w:highlight w:val="none"/>
              </w:rPr>
            </w:pPr>
            <w:r>
              <w:rPr>
                <w:rFonts w:hint="eastAsia"/>
                <w:color w:val="auto"/>
                <w:highlight w:val="none"/>
              </w:rPr>
              <w:t>5.一个客户端连续对同一SBO控制对象选择两次，被测装置的响应：</w:t>
            </w:r>
          </w:p>
          <w:p>
            <w:pPr>
              <w:rPr>
                <w:color w:val="auto"/>
                <w:highlight w:val="none"/>
              </w:rPr>
            </w:pPr>
            <w:r>
              <w:rPr>
                <w:rFonts w:hint="eastAsia"/>
                <w:color w:val="auto"/>
                <w:highlight w:val="none"/>
              </w:rPr>
              <w:t>若控制对象为SBOns对象，则对第一次Select请求回复肯定响应，在选择超时前对第二次Select请求回复“Select response-”，同时控制对象的已选择状态在选择超时前保持，可对Operate请求回复肯定响应</w:t>
            </w:r>
          </w:p>
          <w:p>
            <w:pPr>
              <w:rPr>
                <w:color w:val="auto"/>
                <w:highlight w:val="none"/>
              </w:rPr>
            </w:pPr>
            <w:r>
              <w:rPr>
                <w:rFonts w:hint="eastAsia"/>
                <w:color w:val="auto"/>
                <w:highlight w:val="none"/>
              </w:rPr>
              <w:t>若控制对象为SBOes对象，则对第一次SelectWithValue请求回复肯定响应，在选择超时前对第二次Select请求回复“Select response-”并上送附加原因Addcause= “Command-already-in-execution”的信息报告，同时控制对象的已选择状态在选择超时前保持，可对Operate请求回复肯定响应</w:t>
            </w:r>
          </w:p>
          <w:p>
            <w:pPr>
              <w:rPr>
                <w:color w:val="auto"/>
                <w:highlight w:val="none"/>
              </w:rPr>
            </w:pPr>
            <w:r>
              <w:rPr>
                <w:rFonts w:hint="eastAsia"/>
                <w:color w:val="auto"/>
                <w:highlight w:val="none"/>
              </w:rPr>
              <w:t>6. 客户端下发的遥控命令值与控制对象当前值相同时，被测装置按PIXIT Ct15描述回复响应</w:t>
            </w:r>
          </w:p>
          <w:p>
            <w:pPr>
              <w:rPr>
                <w:color w:val="auto"/>
                <w:highlight w:val="none"/>
              </w:rPr>
            </w:pPr>
            <w:r>
              <w:rPr>
                <w:rFonts w:hint="eastAsia"/>
                <w:color w:val="auto"/>
                <w:highlight w:val="none"/>
              </w:rPr>
              <w:t>7. 两个不同的客户端先后选择同一SBO控制对象，被测装置的响应：</w:t>
            </w:r>
          </w:p>
          <w:p>
            <w:pPr>
              <w:rPr>
                <w:color w:val="auto"/>
                <w:highlight w:val="none"/>
              </w:rPr>
            </w:pPr>
            <w:r>
              <w:rPr>
                <w:rFonts w:hint="eastAsia"/>
                <w:color w:val="auto"/>
                <w:highlight w:val="none"/>
              </w:rPr>
              <w:t>若控制对象为SBOns对象，则对来自客户端1第一次Select请求回复肯定响应，在选择超时前对来自客户端的第二次Select请求回复“Select response-”，同时控制对象的已选择状态在选择超时前保持，可对Operate请求回复肯定响应</w:t>
            </w:r>
          </w:p>
          <w:p>
            <w:pPr>
              <w:rPr>
                <w:color w:val="auto"/>
                <w:highlight w:val="none"/>
              </w:rPr>
            </w:pPr>
            <w:r>
              <w:rPr>
                <w:rFonts w:hint="eastAsia"/>
                <w:color w:val="auto"/>
                <w:highlight w:val="none"/>
              </w:rPr>
              <w:t>若控制对象为SBOes对象，则对来自客户端1的第一次SelectWithValue请求回复肯定响应，在选择超时前对来自客户端2的第二次Select请求回复“Select response-”并上送附加原因Addcause= “Command-already-in-execution”的信息报告，同时控制对象的已选择状态在选择超时前保持，可对Operate请求回复肯定响应</w:t>
            </w:r>
          </w:p>
          <w:p>
            <w:pPr>
              <w:rPr>
                <w:color w:val="auto"/>
                <w:highlight w:val="none"/>
              </w:rPr>
            </w:pPr>
            <w:r>
              <w:rPr>
                <w:rFonts w:hint="eastAsia"/>
                <w:color w:val="auto"/>
                <w:highlight w:val="none"/>
              </w:rPr>
              <w:t>8. 两个不同的客户端先后控制同一个DO对象，被测装置的响应：</w:t>
            </w:r>
          </w:p>
          <w:p>
            <w:pPr>
              <w:rPr>
                <w:color w:val="auto"/>
                <w:highlight w:val="none"/>
              </w:rPr>
            </w:pPr>
            <w:r>
              <w:rPr>
                <w:rFonts w:hint="eastAsia"/>
                <w:color w:val="auto"/>
                <w:highlight w:val="none"/>
              </w:rPr>
              <w:t>若控制对象为DOns对象，则对来自客户端1的第一次Operate请求回复肯定响应，对来自客户端2的第二次Operate请求按PIXIT Ct16描述回复</w:t>
            </w:r>
          </w:p>
          <w:p>
            <w:pPr>
              <w:rPr>
                <w:color w:val="auto"/>
                <w:highlight w:val="none"/>
              </w:rPr>
            </w:pPr>
            <w:r>
              <w:rPr>
                <w:rFonts w:hint="eastAsia"/>
                <w:color w:val="auto"/>
                <w:highlight w:val="none"/>
              </w:rPr>
              <w:t>若控制对象为DOes对象，则对来自客户端1的第一次Operate请求回复肯定响应并上送遥控成功的CommandTermination+报告，对来自客户端2的第二次Operate请求按PIXIT Ct16描述回复</w:t>
            </w:r>
          </w:p>
          <w:p>
            <w:pPr>
              <w:rPr>
                <w:color w:val="auto"/>
                <w:highlight w:val="none"/>
              </w:rPr>
            </w:pPr>
            <w:r>
              <w:rPr>
                <w:rFonts w:hint="eastAsia"/>
                <w:color w:val="auto"/>
                <w:highlight w:val="none"/>
              </w:rPr>
              <w:t>9. 在选择超时之前，SBOes对象接收Operate请求中任一参数（Origin、ctlVal、ctlNum, Test、Check）与选择时接收的SelectWithValue请求中参数不同，被测装置回复服务差错响应并上送附加原因Addcause= “Parameter‐change‐in‐execution”的信息报告</w:t>
            </w:r>
          </w:p>
          <w:p>
            <w:pPr>
              <w:rPr>
                <w:color w:val="auto"/>
                <w:highlight w:val="none"/>
              </w:rPr>
            </w:pPr>
            <w:r>
              <w:rPr>
                <w:rFonts w:hint="eastAsia"/>
                <w:color w:val="auto"/>
                <w:highlight w:val="none"/>
              </w:rPr>
              <w:t>10. 被测装置处于就地状态时，接收遥控命令时的响应应回复服务差错响应</w:t>
            </w:r>
          </w:p>
          <w:p>
            <w:pPr>
              <w:rPr>
                <w:color w:val="auto"/>
                <w:highlight w:val="none"/>
              </w:rPr>
            </w:pPr>
            <w:r>
              <w:rPr>
                <w:rFonts w:hint="eastAsia"/>
                <w:color w:val="auto"/>
                <w:highlight w:val="none"/>
              </w:rPr>
              <w:t>11. 客户端下发控制请求中有不当的访问权限参数时（如超范围的orCat），被控对象应以服务差错响应回答</w:t>
            </w:r>
          </w:p>
          <w:p>
            <w:pPr>
              <w:rPr>
                <w:color w:val="auto"/>
                <w:highlight w:val="none"/>
              </w:rPr>
            </w:pPr>
            <w:r>
              <w:rPr>
                <w:rFonts w:hint="eastAsia"/>
                <w:color w:val="auto"/>
                <w:highlight w:val="none"/>
              </w:rPr>
              <w:t>12. Operate遥控命令响应成功后，被测装置应上送遥控命令是否实际执行成功的报告</w:t>
            </w:r>
          </w:p>
          <w:p>
            <w:pPr>
              <w:rPr>
                <w:color w:val="auto"/>
                <w:highlight w:val="none"/>
              </w:rPr>
            </w:pPr>
            <w:r>
              <w:rPr>
                <w:color w:val="auto"/>
                <w:highlight w:val="none"/>
              </w:rPr>
              <w:t>13.</w:t>
            </w:r>
            <w:r>
              <w:rPr>
                <w:rFonts w:hint="eastAsia"/>
                <w:color w:val="auto"/>
                <w:highlight w:val="none"/>
              </w:rPr>
              <w:t>S</w:t>
            </w:r>
            <w:r>
              <w:rPr>
                <w:color w:val="auto"/>
                <w:highlight w:val="none"/>
              </w:rPr>
              <w:t>BO</w:t>
            </w:r>
            <w:r>
              <w:rPr>
                <w:rFonts w:hint="eastAsia"/>
                <w:color w:val="auto"/>
                <w:highlight w:val="none"/>
              </w:rPr>
              <w:t>es</w:t>
            </w:r>
            <w:r>
              <w:rPr>
                <w:color w:val="auto"/>
                <w:highlight w:val="none"/>
              </w:rPr>
              <w:t>对象应返回到</w:t>
            </w:r>
            <w:r>
              <w:rPr>
                <w:rFonts w:hint="eastAsia"/>
                <w:color w:val="auto"/>
                <w:highlight w:val="none"/>
              </w:rPr>
              <w:t>未</w:t>
            </w:r>
            <w:r>
              <w:rPr>
                <w:color w:val="auto"/>
                <w:highlight w:val="none"/>
              </w:rPr>
              <w:t>选择状态。</w:t>
            </w:r>
          </w:p>
          <w:p>
            <w:pPr>
              <w:rPr>
                <w:color w:val="auto"/>
                <w:highlight w:val="none"/>
              </w:rPr>
            </w:pPr>
            <w:r>
              <w:rPr>
                <w:rFonts w:hint="eastAsia"/>
                <w:color w:val="auto"/>
                <w:highlight w:val="none"/>
              </w:rPr>
              <w:t>14</w:t>
            </w:r>
            <w:r>
              <w:rPr>
                <w:color w:val="auto"/>
                <w:highlight w:val="none"/>
              </w:rPr>
              <w:t>.DO</w:t>
            </w:r>
            <w:r>
              <w:rPr>
                <w:rFonts w:hint="eastAsia"/>
                <w:color w:val="auto"/>
                <w:highlight w:val="none"/>
              </w:rPr>
              <w:t>对象</w:t>
            </w:r>
            <w:r>
              <w:rPr>
                <w:color w:val="auto"/>
                <w:highlight w:val="none"/>
              </w:rPr>
              <w:t>能正</w:t>
            </w:r>
            <w:r>
              <w:rPr>
                <w:rFonts w:hint="eastAsia"/>
                <w:color w:val="auto"/>
                <w:highlight w:val="none"/>
              </w:rPr>
              <w:t>确</w:t>
            </w:r>
            <w:r>
              <w:rPr>
                <w:color w:val="auto"/>
                <w:highlight w:val="none"/>
              </w:rPr>
              <w:t>执行</w:t>
            </w:r>
            <w:r>
              <w:rPr>
                <w:rFonts w:hint="eastAsia"/>
                <w:color w:val="auto"/>
                <w:highlight w:val="none"/>
              </w:rPr>
              <w:t>遥控</w:t>
            </w:r>
            <w:r>
              <w:rPr>
                <w:color w:val="auto"/>
                <w:highlight w:val="none"/>
              </w:rPr>
              <w:t>命令。</w:t>
            </w:r>
          </w:p>
        </w:tc>
      </w:tr>
      <w:bookmarkEnd w:id="367"/>
      <w:bookmarkEnd w:id="368"/>
      <w:bookmarkEnd w:id="369"/>
      <w:bookmarkEnd w:id="370"/>
      <w:bookmarkEnd w:id="371"/>
      <w:bookmarkEnd w:id="372"/>
      <w:bookmarkEnd w:id="373"/>
    </w:tbl>
    <w:p>
      <w:pPr>
        <w:rPr>
          <w:color w:val="auto"/>
          <w:highlight w:val="none"/>
        </w:rPr>
      </w:pPr>
      <w:bookmarkStart w:id="376" w:name="_Toc434055591"/>
      <w:bookmarkStart w:id="377" w:name="_Toc434056634"/>
    </w:p>
    <w:p>
      <w:pPr>
        <w:outlineLvl w:val="2"/>
        <w:rPr>
          <w:color w:val="auto"/>
          <w:highlight w:val="none"/>
        </w:rPr>
      </w:pPr>
      <w:bookmarkStart w:id="378" w:name="_Toc528273643"/>
      <w:bookmarkStart w:id="379" w:name="_Toc484019027"/>
      <w:r>
        <w:rPr>
          <w:rFonts w:hint="eastAsia"/>
          <w:color w:val="auto"/>
          <w:highlight w:val="none"/>
        </w:rPr>
        <w:t xml:space="preserve">B.11 </w:t>
      </w:r>
      <w:r>
        <w:rPr>
          <w:color w:val="auto"/>
          <w:highlight w:val="none"/>
        </w:rPr>
        <w:t>文件模型测试</w:t>
      </w:r>
      <w:bookmarkEnd w:id="378"/>
      <w:bookmarkEnd w:id="379"/>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文件传输测试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rFonts w:hint="eastAsia"/>
                <w:color w:val="auto"/>
                <w:highlight w:val="none"/>
              </w:rPr>
              <w:t>Temp-Ser12</w:t>
            </w:r>
            <w:r>
              <w:rPr>
                <w:rFonts w:hint="eastAsia"/>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DL/T860一致性测试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被测装置的文件传输符合标准要求。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color w:val="auto"/>
                <w:highlight w:val="none"/>
              </w:rPr>
              <w:t>1. 被测装置肯定响应GetServerDirectory(FILE)服务，当GetServerDirectory()中参数为空时，应返回系统根目录下的文件夹和文件列表；</w:t>
            </w:r>
          </w:p>
          <w:p>
            <w:pPr>
              <w:rPr>
                <w:color w:val="auto"/>
                <w:highlight w:val="none"/>
              </w:rPr>
            </w:pPr>
            <w:r>
              <w:rPr>
                <w:color w:val="auto"/>
                <w:highlight w:val="none"/>
              </w:rPr>
              <w:t>2. 被测装置应支持GetFileAttributeValues和GetFile服务；</w:t>
            </w:r>
          </w:p>
          <w:p>
            <w:pPr>
              <w:rPr>
                <w:color w:val="auto"/>
                <w:highlight w:val="none"/>
              </w:rPr>
            </w:pPr>
            <w:r>
              <w:rPr>
                <w:color w:val="auto"/>
                <w:highlight w:val="none"/>
              </w:rPr>
              <w:t>3. 用大小不同的文件及用最多数量的最大的文件，可支持 SetFile服务；</w:t>
            </w:r>
          </w:p>
          <w:p>
            <w:pPr>
              <w:rPr>
                <w:color w:val="auto"/>
                <w:highlight w:val="none"/>
              </w:rPr>
            </w:pPr>
            <w:r>
              <w:rPr>
                <w:color w:val="auto"/>
                <w:highlight w:val="none"/>
              </w:rPr>
              <w:t>4. 如果支持与多个客户关联，同时由几个客户同时请求GetFile服务；</w:t>
            </w:r>
          </w:p>
          <w:p>
            <w:pPr>
              <w:rPr>
                <w:color w:val="auto"/>
                <w:highlight w:val="none"/>
              </w:rPr>
            </w:pPr>
            <w:r>
              <w:rPr>
                <w:color w:val="auto"/>
                <w:highlight w:val="none"/>
              </w:rPr>
              <w:t>5. 文件传输服务请求带有错误路径或未知文件名的文件，并检查响应为服务差错，错误类型为“file-non-existent”。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color w:val="auto"/>
                <w:highlight w:val="none"/>
              </w:rPr>
              <w:t>1.用正确参数请求 GetServerDirectory(FILE)，检查被测装置响应（DL/T 860.72 的 6.2.2）：</w:t>
            </w:r>
          </w:p>
          <w:p>
            <w:pPr>
              <w:rPr>
                <w:color w:val="auto"/>
                <w:highlight w:val="none"/>
              </w:rPr>
            </w:pPr>
            <w:r>
              <w:rPr>
                <w:rFonts w:hint="eastAsia"/>
                <w:color w:val="auto"/>
                <w:highlight w:val="none"/>
              </w:rPr>
              <w:t>若客户端请求GetServerDirectory请求中参数为空，被测装置应返回根目录下的文件和文件列表(文件及文件目录的定义方式按PIXITFt1描述)</w:t>
            </w:r>
          </w:p>
          <w:p>
            <w:pPr>
              <w:rPr>
                <w:color w:val="auto"/>
                <w:highlight w:val="none"/>
              </w:rPr>
            </w:pPr>
            <w:r>
              <w:rPr>
                <w:rFonts w:hint="eastAsia"/>
                <w:color w:val="auto"/>
                <w:highlight w:val="none"/>
              </w:rPr>
              <w:t>对于返回的文件目录，客户端发送GetServerDirectory请求每一个文件目录下的文件列表</w:t>
            </w:r>
          </w:p>
          <w:p>
            <w:pPr>
              <w:rPr>
                <w:color w:val="auto"/>
                <w:highlight w:val="none"/>
              </w:rPr>
            </w:pPr>
            <w:r>
              <w:rPr>
                <w:color w:val="auto"/>
                <w:highlight w:val="none"/>
              </w:rPr>
              <w:t>2.对于每个响应文件：</w:t>
            </w:r>
          </w:p>
          <w:p>
            <w:pPr>
              <w:rPr>
                <w:color w:val="auto"/>
                <w:highlight w:val="none"/>
              </w:rPr>
            </w:pPr>
            <w:r>
              <w:rPr>
                <w:rFonts w:hint="eastAsia"/>
                <w:color w:val="auto"/>
                <w:highlight w:val="none"/>
              </w:rPr>
              <w:t>用正确参数请求GetFileAttributeValues获取单个文件属性，检查被测装置应以单个文件属性响应（ DL/T 860.72 的 20.2.4）</w:t>
            </w:r>
          </w:p>
          <w:p>
            <w:pPr>
              <w:rPr>
                <w:color w:val="auto"/>
                <w:highlight w:val="none"/>
              </w:rPr>
            </w:pPr>
            <w:r>
              <w:rPr>
                <w:rFonts w:hint="eastAsia"/>
                <w:color w:val="auto"/>
                <w:highlight w:val="none"/>
              </w:rPr>
              <w:t>用正确参数请求GetFile，检查被测装置回复肯定响应，并能打开文件并返回文件内容（ DL/T 860.72 的 20.2.1）</w:t>
            </w:r>
          </w:p>
          <w:p>
            <w:pPr>
              <w:rPr>
                <w:color w:val="auto"/>
                <w:highlight w:val="none"/>
              </w:rPr>
            </w:pPr>
            <w:r>
              <w:rPr>
                <w:rFonts w:hint="eastAsia"/>
                <w:color w:val="auto"/>
                <w:highlight w:val="none"/>
              </w:rPr>
              <w:t>用正确参数请求DeleteFile，检查被测装置响应（DL/T 860.72 的 20.2.3）</w:t>
            </w:r>
          </w:p>
          <w:p>
            <w:pPr>
              <w:rPr>
                <w:color w:val="auto"/>
                <w:highlight w:val="none"/>
              </w:rPr>
            </w:pPr>
            <w:r>
              <w:rPr>
                <w:rFonts w:hint="eastAsia"/>
                <w:color w:val="auto"/>
                <w:highlight w:val="none"/>
              </w:rPr>
              <w:t>3. 客户端使用SetFile请求重复下装大小不同的同名文件，检查被测装置的响应</w:t>
            </w:r>
          </w:p>
          <w:p>
            <w:pPr>
              <w:rPr>
                <w:color w:val="auto"/>
                <w:highlight w:val="none"/>
              </w:rPr>
            </w:pPr>
            <w:r>
              <w:rPr>
                <w:rFonts w:hint="eastAsia"/>
                <w:color w:val="auto"/>
                <w:highlight w:val="none"/>
              </w:rPr>
              <w:t>4. 2个不同客户端同时发送GetFile服务获取被测装置中的同一文件，被测装置对客户端1的请求回复肯定响应，并能在文件内容传输过程中对客户端2的GetFile请求回复肯定响应，同时向客户端2传输文件内容（PIXITFt8）</w:t>
            </w:r>
          </w:p>
          <w:p>
            <w:pPr>
              <w:rPr>
                <w:color w:val="auto"/>
                <w:highlight w:val="none"/>
              </w:rPr>
            </w:pPr>
            <w:r>
              <w:rPr>
                <w:rFonts w:hint="eastAsia"/>
                <w:color w:val="auto"/>
                <w:highlight w:val="none"/>
              </w:rPr>
              <w:t>5. 使用下列文件传输服务请求带有错误路径或未知文件名的文件，并检查响应为服务差错，错误类型为“file-non-existent”：</w:t>
            </w:r>
          </w:p>
          <w:p>
            <w:pPr>
              <w:rPr>
                <w:color w:val="auto"/>
                <w:highlight w:val="none"/>
              </w:rPr>
            </w:pPr>
            <w:r>
              <w:rPr>
                <w:rFonts w:hint="eastAsia"/>
                <w:color w:val="auto"/>
                <w:highlight w:val="none"/>
              </w:rPr>
              <w:t xml:space="preserve">GetFile (DL/T 860.72 的 20.2.1) </w:t>
            </w:r>
          </w:p>
          <w:p>
            <w:pPr>
              <w:rPr>
                <w:color w:val="auto"/>
                <w:highlight w:val="none"/>
              </w:rPr>
            </w:pPr>
            <w:r>
              <w:rPr>
                <w:rFonts w:hint="eastAsia"/>
                <w:color w:val="auto"/>
                <w:highlight w:val="none"/>
              </w:rPr>
              <w:t xml:space="preserve">GetFileAttributeValues(DL/T 860.72 的 20.2.4) </w:t>
            </w:r>
          </w:p>
          <w:p>
            <w:pPr>
              <w:rPr>
                <w:color w:val="auto"/>
                <w:highlight w:val="none"/>
              </w:rPr>
            </w:pPr>
            <w:r>
              <w:rPr>
                <w:rFonts w:hint="eastAsia"/>
                <w:color w:val="auto"/>
                <w:highlight w:val="none"/>
              </w:rPr>
              <w:t xml:space="preserve">Delete File(DL/T 860.72 的 20.2.3)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80" w:name="_Toc528273644"/>
      <w:bookmarkStart w:id="381" w:name="_Toc484019028"/>
      <w:r>
        <w:rPr>
          <w:rFonts w:hint="eastAsia"/>
          <w:color w:val="auto"/>
          <w:highlight w:val="none"/>
        </w:rPr>
        <w:t xml:space="preserve">B.12 </w:t>
      </w:r>
      <w:r>
        <w:rPr>
          <w:color w:val="auto"/>
          <w:highlight w:val="none"/>
        </w:rPr>
        <w:t>时间和时间同步测试</w:t>
      </w:r>
      <w:bookmarkEnd w:id="380"/>
      <w:bookmarkEnd w:id="381"/>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时间和时间同步测试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rFonts w:hint="eastAsia"/>
                <w:color w:val="auto"/>
                <w:highlight w:val="none"/>
              </w:rPr>
              <w:t>Temp-Ser11</w:t>
            </w:r>
            <w:r>
              <w:rPr>
                <w:rFonts w:hint="eastAsia"/>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DL/T860一致性测试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被测装置的时间和时间同步符合标准要求。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color w:val="auto"/>
                <w:highlight w:val="none"/>
              </w:rPr>
              <w:t>1.被测装置应支持 SCSM时间同步（SNTP）</w:t>
            </w:r>
          </w:p>
          <w:p>
            <w:pPr>
              <w:rPr>
                <w:color w:val="auto"/>
                <w:highlight w:val="none"/>
              </w:rPr>
            </w:pPr>
            <w:r>
              <w:rPr>
                <w:color w:val="auto"/>
                <w:highlight w:val="none"/>
              </w:rPr>
              <w:t>2.被测装置报告/记录时标准确度符合服务器文档中标称值</w:t>
            </w:r>
          </w:p>
          <w:p>
            <w:pPr>
              <w:rPr>
                <w:color w:val="auto"/>
                <w:highlight w:val="none"/>
              </w:rPr>
            </w:pPr>
            <w:r>
              <w:rPr>
                <w:color w:val="auto"/>
                <w:highlight w:val="none"/>
              </w:rPr>
              <w:t>3.被测装置支持时区配置，保存的录波文件时标是当地时标</w:t>
            </w:r>
          </w:p>
          <w:p>
            <w:pPr>
              <w:rPr>
                <w:color w:val="auto"/>
                <w:highlight w:val="none"/>
              </w:rPr>
            </w:pPr>
            <w:r>
              <w:rPr>
                <w:color w:val="auto"/>
                <w:highlight w:val="none"/>
              </w:rPr>
              <w:t>4.被测装置特定周期之后，能够检测到时间同步通信丢失，置位ClockNotSynchronized=1</w:t>
            </w:r>
          </w:p>
          <w:p>
            <w:pPr>
              <w:rPr>
                <w:color w:val="auto"/>
                <w:highlight w:val="none"/>
              </w:rPr>
            </w:pPr>
            <w:r>
              <w:rPr>
                <w:color w:val="auto"/>
                <w:highlight w:val="none"/>
              </w:rPr>
              <w:t>5.被测装置同步出错，能够检出超出时标允许的偏差，置位ClockFailure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color w:val="auto"/>
                <w:highlight w:val="none"/>
              </w:rPr>
              <w:t>1.检查被测装置支持SCSM时间同步（SNTP）, 当对时服务器时间发生变化时，被测装置应能更新当地时间；在对时过程中上送事件报告中数据成员的时标值与事件产生时对时服务器时刻偏差不超过±10s，时标类型为UTC时标</w:t>
            </w:r>
          </w:p>
          <w:p>
            <w:pPr>
              <w:rPr>
                <w:color w:val="auto"/>
                <w:highlight w:val="none"/>
              </w:rPr>
            </w:pPr>
            <w:r>
              <w:rPr>
                <w:color w:val="auto"/>
                <w:highlight w:val="none"/>
              </w:rPr>
              <w:t>2.检查报告/记录时标准确度符合PICS文档中标称值，时标品质应与PIXIT Tm1文档中描述一致</w:t>
            </w:r>
          </w:p>
          <w:p>
            <w:pPr>
              <w:rPr>
                <w:color w:val="auto"/>
                <w:highlight w:val="none"/>
              </w:rPr>
            </w:pPr>
            <w:r>
              <w:rPr>
                <w:color w:val="auto"/>
                <w:highlight w:val="none"/>
              </w:rPr>
              <w:t>3.检查被测装置配置时区为非0时区时，保存的录波文件记录时标按PIXIT Tm8描述</w:t>
            </w:r>
          </w:p>
          <w:p>
            <w:pPr>
              <w:rPr>
                <w:color w:val="auto"/>
                <w:highlight w:val="none"/>
              </w:rPr>
            </w:pPr>
            <w:r>
              <w:rPr>
                <w:color w:val="auto"/>
                <w:highlight w:val="none"/>
              </w:rPr>
              <w:t>4. 检查被测装置与对时服务器通信中断一定时间之后，被测装置能够检测到时间服务器同步信号丢失并在发生数据变化时置时标品质位ClockNotSynchronized=1</w:t>
            </w:r>
          </w:p>
          <w:p>
            <w:pPr>
              <w:rPr>
                <w:color w:val="auto"/>
                <w:highlight w:val="none"/>
              </w:rPr>
            </w:pPr>
            <w:r>
              <w:rPr>
                <w:color w:val="auto"/>
                <w:highlight w:val="none"/>
              </w:rPr>
              <w:t>5. 检查被测装置认为当前采用的时标信息不可信时，能置发生数据变化的数据时标品质位ClockFailure=1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82" w:name="_Toc484019029"/>
      <w:bookmarkStart w:id="383" w:name="_Toc528273645"/>
      <w:r>
        <w:rPr>
          <w:rFonts w:hint="eastAsia"/>
          <w:color w:val="auto"/>
          <w:highlight w:val="none"/>
        </w:rPr>
        <w:t xml:space="preserve">B.13 </w:t>
      </w:r>
      <w:r>
        <w:rPr>
          <w:color w:val="auto"/>
          <w:highlight w:val="none"/>
        </w:rPr>
        <w:t>日志模型测试</w:t>
      </w:r>
      <w:bookmarkEnd w:id="382"/>
      <w:bookmarkEnd w:id="383"/>
    </w:p>
    <w:bookmarkEnd w:id="376"/>
    <w:bookmarkEnd w:id="377"/>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日志模型测试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rFonts w:hint="eastAsia"/>
                <w:color w:val="auto"/>
                <w:highlight w:val="none"/>
              </w:rPr>
              <w:t>Temp-Ser13</w:t>
            </w:r>
            <w:r>
              <w:rPr>
                <w:rFonts w:hint="eastAsia"/>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DL/T860一致性测试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被测装置的日志模型符合标准要求。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1.客户端发送GetLogicalNodeDirectory（Log）请求，被测装置应回复肯定响应</w:t>
            </w:r>
          </w:p>
          <w:p>
            <w:pPr>
              <w:rPr>
                <w:color w:val="auto"/>
                <w:highlight w:val="none"/>
              </w:rPr>
            </w:pPr>
            <w:r>
              <w:rPr>
                <w:rFonts w:hint="eastAsia"/>
                <w:color w:val="auto"/>
                <w:highlight w:val="none"/>
              </w:rPr>
              <w:t>2.客户端发送GetLogicalNodeDirectory（LCB）请求，被测装置应回复肯定响应</w:t>
            </w:r>
          </w:p>
          <w:p>
            <w:pPr>
              <w:rPr>
                <w:color w:val="auto"/>
                <w:highlight w:val="none"/>
              </w:rPr>
            </w:pPr>
            <w:r>
              <w:rPr>
                <w:rFonts w:hint="eastAsia"/>
                <w:color w:val="auto"/>
                <w:highlight w:val="none"/>
              </w:rPr>
              <w:t>3.客户端发送GetLCBValues（FC=LG）读取LCB属性，被测装置应回复肯定响应</w:t>
            </w:r>
          </w:p>
          <w:p>
            <w:pPr>
              <w:rPr>
                <w:color w:val="auto"/>
                <w:highlight w:val="none"/>
              </w:rPr>
            </w:pPr>
            <w:r>
              <w:rPr>
                <w:rFonts w:hint="eastAsia"/>
                <w:color w:val="auto"/>
                <w:highlight w:val="none"/>
              </w:rPr>
              <w:t>4.客户端使用SetLCBValues（FC=LG）设置日志触发选项为数据变化和完整性周期，被测装置回复肯定响应</w:t>
            </w:r>
          </w:p>
          <w:p>
            <w:pPr>
              <w:rPr>
                <w:color w:val="auto"/>
                <w:highlight w:val="none"/>
              </w:rPr>
            </w:pPr>
            <w:r>
              <w:rPr>
                <w:rFonts w:hint="eastAsia"/>
                <w:color w:val="auto"/>
                <w:highlight w:val="none"/>
              </w:rPr>
              <w:t>5.在日志控制块使能条件下，被测装置与客户端的通信连接中断不影响日志的正确记录</w:t>
            </w:r>
          </w:p>
          <w:p>
            <w:pPr>
              <w:rPr>
                <w:color w:val="auto"/>
                <w:highlight w:val="none"/>
              </w:rPr>
            </w:pPr>
            <w:r>
              <w:rPr>
                <w:rFonts w:hint="eastAsia"/>
                <w:color w:val="auto"/>
                <w:highlight w:val="none"/>
              </w:rPr>
              <w:t>6.配置并使能日志记录，被测装置应能按PIXIT Lg5描述支持的日志触发选项正确记录相应日志</w:t>
            </w:r>
          </w:p>
          <w:p>
            <w:pPr>
              <w:rPr>
                <w:color w:val="auto"/>
                <w:highlight w:val="none"/>
              </w:rPr>
            </w:pPr>
            <w:r>
              <w:rPr>
                <w:rFonts w:hint="eastAsia"/>
                <w:color w:val="auto"/>
                <w:highlight w:val="none"/>
              </w:rPr>
              <w:t>7.客户端发送QueryLogByTime请求，按时间查询日志，被测装置以日志条目列表响应</w:t>
            </w:r>
          </w:p>
          <w:p>
            <w:pPr>
              <w:rPr>
                <w:color w:val="auto"/>
                <w:highlight w:val="none"/>
              </w:rPr>
            </w:pPr>
            <w:r>
              <w:rPr>
                <w:rFonts w:hint="eastAsia"/>
                <w:color w:val="auto"/>
                <w:highlight w:val="none"/>
              </w:rPr>
              <w:t>8.客户端发送QueryLogAfter请求，按时间和条目号组合条件查询日志，被测装置响应：</w:t>
            </w:r>
          </w:p>
          <w:p>
            <w:pPr>
              <w:rPr>
                <w:color w:val="auto"/>
                <w:highlight w:val="none"/>
              </w:rPr>
            </w:pPr>
            <w:r>
              <w:rPr>
                <w:rFonts w:hint="eastAsia"/>
                <w:color w:val="auto"/>
                <w:highlight w:val="none"/>
              </w:rPr>
              <w:t>QueryLogAfter请求参数中EntryID值为无效条目号、RangeStartTime时间小于日志内第一条日志时间，则被测装置返回所有日志条目</w:t>
            </w:r>
          </w:p>
          <w:p>
            <w:pPr>
              <w:rPr>
                <w:color w:val="auto"/>
                <w:highlight w:val="none"/>
              </w:rPr>
            </w:pPr>
            <w:r>
              <w:rPr>
                <w:rFonts w:hint="eastAsia"/>
                <w:color w:val="auto"/>
                <w:highlight w:val="none"/>
              </w:rPr>
              <w:t>QueryLogAfter请求参数中EntryID值为无效条目号、RangeStartTime时间大于或等于日志内最后一条日志时间，则被测装置返回空列表</w:t>
            </w:r>
          </w:p>
          <w:p>
            <w:pPr>
              <w:rPr>
                <w:color w:val="auto"/>
                <w:highlight w:val="none"/>
              </w:rPr>
            </w:pPr>
            <w:r>
              <w:rPr>
                <w:rFonts w:hint="eastAsia"/>
                <w:color w:val="auto"/>
                <w:highlight w:val="none"/>
              </w:rPr>
              <w:t>QueryLogAfter请求参数中EntryID值为无效条目号、RangeStartTime时间介于日志内第一条日志和最后一条日志之间，则被测装置返回请求时间后的所有日志条目</w:t>
            </w:r>
          </w:p>
          <w:p>
            <w:pPr>
              <w:rPr>
                <w:color w:val="auto"/>
                <w:highlight w:val="none"/>
              </w:rPr>
            </w:pPr>
            <w:r>
              <w:rPr>
                <w:rFonts w:hint="eastAsia"/>
                <w:color w:val="auto"/>
                <w:highlight w:val="none"/>
              </w:rPr>
              <w:t>若日志记录时刻中有某个时刻产生多个日志条目，这些日志条目的条目时间相同但条目号不同。QueryLogAfter请求参数的EntryID值为这些条目中间的某个条目号、RangeStartTime为条目产生时间，则被测装置返RangeStartTime时刻、请求条目号后的所有条目</w:t>
            </w:r>
          </w:p>
          <w:p>
            <w:pPr>
              <w:rPr>
                <w:color w:val="auto"/>
                <w:highlight w:val="none"/>
              </w:rPr>
            </w:pPr>
            <w:r>
              <w:rPr>
                <w:rFonts w:hint="eastAsia"/>
                <w:color w:val="auto"/>
                <w:highlight w:val="none"/>
              </w:rPr>
              <w:t>9.客户端发送GetLogStatusValues请求，读取日志属性并检查肯定响应，验证返回的日志中最旧和最新的的日志条目正确并可用</w:t>
            </w:r>
          </w:p>
          <w:p>
            <w:pPr>
              <w:rPr>
                <w:color w:val="auto"/>
                <w:highlight w:val="none"/>
              </w:rPr>
            </w:pPr>
            <w:r>
              <w:rPr>
                <w:rFonts w:hint="eastAsia"/>
                <w:color w:val="auto"/>
                <w:highlight w:val="none"/>
              </w:rPr>
              <w:t>10.已存储的日志条目在装置掉电或重启时不丢失</w:t>
            </w:r>
          </w:p>
          <w:p>
            <w:pPr>
              <w:rPr>
                <w:color w:val="auto"/>
                <w:highlight w:val="none"/>
              </w:rPr>
            </w:pPr>
            <w:r>
              <w:rPr>
                <w:rFonts w:hint="eastAsia"/>
                <w:color w:val="auto"/>
                <w:highlight w:val="none"/>
              </w:rPr>
              <w:t>11.客户端使用包含错误参数（日志控制块、日志）的服务来请求，装置应回复否定响应</w:t>
            </w:r>
          </w:p>
          <w:p>
            <w:pPr>
              <w:rPr>
                <w:color w:val="auto"/>
                <w:highlight w:val="none"/>
              </w:rPr>
            </w:pPr>
            <w:r>
              <w:rPr>
                <w:rFonts w:hint="eastAsia"/>
                <w:color w:val="auto"/>
                <w:highlight w:val="none"/>
              </w:rPr>
              <w:t>12.日志控制块的错误配置：</w:t>
            </w:r>
          </w:p>
          <w:p>
            <w:pPr>
              <w:rPr>
                <w:color w:val="auto"/>
                <w:highlight w:val="none"/>
              </w:rPr>
            </w:pPr>
            <w:r>
              <w:rPr>
                <w:rFonts w:hint="eastAsia"/>
                <w:color w:val="auto"/>
                <w:highlight w:val="none"/>
              </w:rPr>
              <w:t>日志控制块在使能时配置可写属性如“LogRef,DatSet、TrgOps、IntgPd”，响应为服务差错“temporarily‐unavailable”</w:t>
            </w:r>
          </w:p>
          <w:p>
            <w:pPr>
              <w:rPr>
                <w:color w:val="auto"/>
                <w:highlight w:val="none"/>
              </w:rPr>
            </w:pPr>
            <w:r>
              <w:rPr>
                <w:rFonts w:hint="eastAsia"/>
                <w:color w:val="auto"/>
                <w:highlight w:val="none"/>
              </w:rPr>
              <w:t>日志控制块在未使能时配置不可写属性如“OldEntrTm,NewEntrTm, OldEnt and NewEnt”以及模型文件中声明为“fix” or “conf”的属性，响应为服务差错“object-access-denied”</w:t>
            </w:r>
          </w:p>
          <w:p>
            <w:pPr>
              <w:rPr>
                <w:color w:val="auto"/>
                <w:highlight w:val="none"/>
              </w:rPr>
            </w:pPr>
            <w:r>
              <w:rPr>
                <w:rFonts w:hint="eastAsia"/>
                <w:color w:val="auto"/>
                <w:highlight w:val="none"/>
              </w:rPr>
              <w:t>c)  日志控制块在未使能时配置可写属性但写入的属性值不满足要求时，如DataSet（若DatSet为可写属性时），响应为服务差错“object-value-invalid”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1.客户端发送GetLogicalNodeDirectory（Log）请求，被测装置应回复肯定响应</w:t>
            </w:r>
          </w:p>
          <w:p>
            <w:pPr>
              <w:rPr>
                <w:color w:val="auto"/>
                <w:highlight w:val="none"/>
              </w:rPr>
            </w:pPr>
            <w:r>
              <w:rPr>
                <w:rFonts w:hint="eastAsia"/>
                <w:color w:val="auto"/>
                <w:highlight w:val="none"/>
              </w:rPr>
              <w:t>2.客户端发送GetLogicalNodeDirectory（LCB）请求，被测装置应回复肯定响应</w:t>
            </w:r>
          </w:p>
          <w:p>
            <w:pPr>
              <w:rPr>
                <w:color w:val="auto"/>
                <w:highlight w:val="none"/>
              </w:rPr>
            </w:pPr>
            <w:r>
              <w:rPr>
                <w:rFonts w:hint="eastAsia"/>
                <w:color w:val="auto"/>
                <w:highlight w:val="none"/>
              </w:rPr>
              <w:t>3.客户端发送GetLCBValues（FC=LG）读取LCB属性，检被测装置应回复肯定响应</w:t>
            </w:r>
          </w:p>
          <w:p>
            <w:pPr>
              <w:rPr>
                <w:color w:val="auto"/>
                <w:highlight w:val="none"/>
              </w:rPr>
            </w:pPr>
            <w:r>
              <w:rPr>
                <w:rFonts w:hint="eastAsia"/>
                <w:color w:val="auto"/>
                <w:highlight w:val="none"/>
              </w:rPr>
              <w:t>4.客户端使用SetLCBValues（FC=LG）设置日志触发选项为数据变化和完整性周期，被测装置回复肯定响应，</w:t>
            </w:r>
          </w:p>
          <w:p>
            <w:pPr>
              <w:rPr>
                <w:color w:val="auto"/>
                <w:highlight w:val="none"/>
              </w:rPr>
            </w:pPr>
            <w:r>
              <w:rPr>
                <w:rFonts w:hint="eastAsia"/>
                <w:color w:val="auto"/>
                <w:highlight w:val="none"/>
              </w:rPr>
              <w:t>设置完整性周期时间，LCB使能后触发数据变化同时等待若干周期时间，检查日志变化日志和完整性周期日志应能正确记录，同时日志控制块属性NewEnt和NewEntrTm应更新为最新的日志条目号和条目时间</w:t>
            </w:r>
          </w:p>
          <w:p>
            <w:pPr>
              <w:rPr>
                <w:color w:val="auto"/>
                <w:highlight w:val="none"/>
              </w:rPr>
            </w:pPr>
            <w:r>
              <w:rPr>
                <w:rFonts w:hint="eastAsia"/>
                <w:color w:val="auto"/>
                <w:highlight w:val="none"/>
              </w:rPr>
              <w:t>LCB停止使能后，触发数据变化，检查任何日志不应被记录</w:t>
            </w:r>
          </w:p>
          <w:p>
            <w:pPr>
              <w:rPr>
                <w:color w:val="auto"/>
                <w:highlight w:val="none"/>
              </w:rPr>
            </w:pPr>
            <w:r>
              <w:rPr>
                <w:rFonts w:hint="eastAsia"/>
                <w:color w:val="auto"/>
                <w:highlight w:val="none"/>
              </w:rPr>
              <w:t>5.检查在日志控制块使能条件下，被测装置与客户端的通信连接中断不影响日志的正确记录</w:t>
            </w:r>
          </w:p>
          <w:p>
            <w:pPr>
              <w:rPr>
                <w:color w:val="auto"/>
                <w:highlight w:val="none"/>
              </w:rPr>
            </w:pPr>
            <w:r>
              <w:rPr>
                <w:rFonts w:hint="eastAsia"/>
                <w:color w:val="auto"/>
                <w:highlight w:val="none"/>
              </w:rPr>
              <w:t>6.配置并使能日志记录，检查被测装置应能按PIXIT Lg5描述支持的日志触发选项正确记录相应日志</w:t>
            </w:r>
          </w:p>
          <w:p>
            <w:pPr>
              <w:rPr>
                <w:color w:val="auto"/>
                <w:highlight w:val="none"/>
              </w:rPr>
            </w:pPr>
            <w:r>
              <w:rPr>
                <w:rFonts w:hint="eastAsia"/>
                <w:color w:val="auto"/>
                <w:highlight w:val="none"/>
              </w:rPr>
              <w:t>完整性周期（integrity）</w:t>
            </w:r>
          </w:p>
          <w:p>
            <w:pPr>
              <w:rPr>
                <w:color w:val="auto"/>
                <w:highlight w:val="none"/>
              </w:rPr>
            </w:pPr>
            <w:r>
              <w:rPr>
                <w:rFonts w:hint="eastAsia"/>
                <w:color w:val="auto"/>
                <w:highlight w:val="none"/>
              </w:rPr>
              <w:t>数据刷新（dupd）</w:t>
            </w:r>
          </w:p>
          <w:p>
            <w:pPr>
              <w:rPr>
                <w:color w:val="auto"/>
                <w:highlight w:val="none"/>
              </w:rPr>
            </w:pPr>
            <w:r>
              <w:rPr>
                <w:rFonts w:hint="eastAsia"/>
                <w:color w:val="auto"/>
                <w:highlight w:val="none"/>
              </w:rPr>
              <w:t>数据刷新和完整性周期（dupd and integrity）</w:t>
            </w:r>
          </w:p>
          <w:p>
            <w:pPr>
              <w:rPr>
                <w:color w:val="auto"/>
                <w:highlight w:val="none"/>
              </w:rPr>
            </w:pPr>
            <w:r>
              <w:rPr>
                <w:rFonts w:hint="eastAsia"/>
                <w:color w:val="auto"/>
                <w:highlight w:val="none"/>
              </w:rPr>
              <w:t>数据变化 (dchg)</w:t>
            </w:r>
          </w:p>
          <w:p>
            <w:pPr>
              <w:rPr>
                <w:color w:val="auto"/>
                <w:highlight w:val="none"/>
              </w:rPr>
            </w:pPr>
            <w:r>
              <w:rPr>
                <w:rFonts w:hint="eastAsia"/>
                <w:color w:val="auto"/>
                <w:highlight w:val="none"/>
              </w:rPr>
              <w:t>品质变化 (qchg)</w:t>
            </w:r>
          </w:p>
          <w:p>
            <w:pPr>
              <w:rPr>
                <w:color w:val="auto"/>
                <w:highlight w:val="none"/>
              </w:rPr>
            </w:pPr>
            <w:r>
              <w:rPr>
                <w:rFonts w:hint="eastAsia"/>
                <w:color w:val="auto"/>
                <w:highlight w:val="none"/>
              </w:rPr>
              <w:t>数据变化和品质品质（dchg and qchg）</w:t>
            </w:r>
          </w:p>
          <w:p>
            <w:pPr>
              <w:rPr>
                <w:color w:val="auto"/>
                <w:highlight w:val="none"/>
              </w:rPr>
            </w:pPr>
            <w:r>
              <w:rPr>
                <w:rFonts w:hint="eastAsia"/>
                <w:color w:val="auto"/>
                <w:highlight w:val="none"/>
              </w:rPr>
              <w:t>数据变化品质变化和完整性周期（dchg and qchg and integrity）</w:t>
            </w:r>
          </w:p>
          <w:p>
            <w:pPr>
              <w:rPr>
                <w:color w:val="auto"/>
                <w:highlight w:val="none"/>
              </w:rPr>
            </w:pPr>
            <w:r>
              <w:rPr>
                <w:rFonts w:hint="eastAsia"/>
                <w:color w:val="auto"/>
                <w:highlight w:val="none"/>
              </w:rPr>
              <w:t>7.客户端发送QueryLogByTime请求，按时间查询日志，检查被测装置以日志条目列表响应</w:t>
            </w:r>
          </w:p>
          <w:p>
            <w:pPr>
              <w:rPr>
                <w:color w:val="auto"/>
                <w:highlight w:val="none"/>
              </w:rPr>
            </w:pPr>
            <w:r>
              <w:rPr>
                <w:rFonts w:hint="eastAsia"/>
                <w:color w:val="auto"/>
                <w:highlight w:val="none"/>
              </w:rPr>
              <w:t>8.客户端发送QueryLogAfter请求，按时间和条目号组合条件查询日志，检查被测装置响应：</w:t>
            </w:r>
          </w:p>
          <w:p>
            <w:pPr>
              <w:rPr>
                <w:color w:val="auto"/>
                <w:highlight w:val="none"/>
              </w:rPr>
            </w:pPr>
            <w:r>
              <w:rPr>
                <w:rFonts w:hint="eastAsia"/>
                <w:color w:val="auto"/>
                <w:highlight w:val="none"/>
              </w:rPr>
              <w:t>QueryLogAfter请求参数中EntryID值为无效条目号、RangeStartTime时间小于日志内第一条日志时间，则被测装置返回所有日志条目</w:t>
            </w:r>
          </w:p>
          <w:p>
            <w:pPr>
              <w:rPr>
                <w:color w:val="auto"/>
                <w:highlight w:val="none"/>
              </w:rPr>
            </w:pPr>
            <w:r>
              <w:rPr>
                <w:rFonts w:hint="eastAsia"/>
                <w:color w:val="auto"/>
                <w:highlight w:val="none"/>
              </w:rPr>
              <w:t>QueryLogAfter请求参数中EntryID值为无效条目号、RangeStartTime时间大于或等于日志内最后一条日志时间，则被测装置返回空列表</w:t>
            </w:r>
          </w:p>
          <w:p>
            <w:pPr>
              <w:rPr>
                <w:color w:val="auto"/>
                <w:highlight w:val="none"/>
              </w:rPr>
            </w:pPr>
            <w:r>
              <w:rPr>
                <w:rFonts w:hint="eastAsia"/>
                <w:color w:val="auto"/>
                <w:highlight w:val="none"/>
              </w:rPr>
              <w:t>QueryLogAfter请求参数中EntryID值为无效条目号、RangeStartTime时间介于日志内第一条日志和最后一条日志之间，则被测装置返回请求时间后的所有日志条目</w:t>
            </w:r>
          </w:p>
          <w:p>
            <w:pPr>
              <w:rPr>
                <w:color w:val="auto"/>
                <w:highlight w:val="none"/>
              </w:rPr>
            </w:pPr>
            <w:r>
              <w:rPr>
                <w:rFonts w:hint="eastAsia"/>
                <w:color w:val="auto"/>
                <w:highlight w:val="none"/>
              </w:rPr>
              <w:t>若日志记录时刻中有某个时刻产生多个日志条目，这些日志条目的条目时间相同但条目号不同。QueryLogAfter请求参数的EntryID值为这些条目中间的某个条目号、RangeStartTime为条目产生时间，则被测装置返RangeStartTime时刻、请求条目号后的所有条目</w:t>
            </w:r>
          </w:p>
          <w:p>
            <w:pPr>
              <w:rPr>
                <w:color w:val="auto"/>
                <w:highlight w:val="none"/>
              </w:rPr>
            </w:pPr>
            <w:r>
              <w:rPr>
                <w:rFonts w:hint="eastAsia"/>
                <w:color w:val="auto"/>
                <w:highlight w:val="none"/>
              </w:rPr>
              <w:t>9.客户端发送GetLogStatusValues请求，读取日志属性并检查肯定响应，验证返回的日志中最旧和最新的的日志条目正确并可用</w:t>
            </w:r>
          </w:p>
          <w:p>
            <w:pPr>
              <w:rPr>
                <w:color w:val="auto"/>
                <w:highlight w:val="none"/>
              </w:rPr>
            </w:pPr>
            <w:r>
              <w:rPr>
                <w:rFonts w:hint="eastAsia"/>
                <w:color w:val="auto"/>
                <w:highlight w:val="none"/>
              </w:rPr>
              <w:t>10.检查已存储的日志条目在装置掉电或重启时不丢失</w:t>
            </w:r>
          </w:p>
          <w:p>
            <w:pPr>
              <w:rPr>
                <w:color w:val="auto"/>
                <w:highlight w:val="none"/>
              </w:rPr>
            </w:pPr>
            <w:r>
              <w:rPr>
                <w:rFonts w:hint="eastAsia"/>
                <w:color w:val="auto"/>
                <w:highlight w:val="none"/>
              </w:rPr>
              <w:t>11.客户端使用下列包含错误参数（日志控制块、日志）的服务来请求并检查否定响应</w:t>
            </w:r>
          </w:p>
          <w:p>
            <w:pPr>
              <w:rPr>
                <w:color w:val="auto"/>
                <w:highlight w:val="none"/>
              </w:rPr>
            </w:pPr>
            <w:r>
              <w:rPr>
                <w:rFonts w:hint="eastAsia"/>
                <w:color w:val="auto"/>
                <w:highlight w:val="none"/>
              </w:rPr>
              <w:t>GetLCBValues请求未知的LCB，被测装置回复否定响应为"object-non-existent"</w:t>
            </w:r>
          </w:p>
          <w:p>
            <w:pPr>
              <w:rPr>
                <w:color w:val="auto"/>
                <w:highlight w:val="none"/>
              </w:rPr>
            </w:pPr>
            <w:r>
              <w:rPr>
                <w:rFonts w:hint="eastAsia"/>
                <w:color w:val="auto"/>
                <w:highlight w:val="none"/>
              </w:rPr>
              <w:t>QueryLogByTime请求未知的LogRef，被测装置回复否定响应为"object-non-existent"</w:t>
            </w:r>
          </w:p>
          <w:p>
            <w:pPr>
              <w:rPr>
                <w:color w:val="auto"/>
                <w:highlight w:val="none"/>
              </w:rPr>
            </w:pPr>
            <w:r>
              <w:rPr>
                <w:rFonts w:hint="eastAsia"/>
                <w:color w:val="auto"/>
                <w:highlight w:val="none"/>
              </w:rPr>
              <w:t>QueryLogAfter请求未知的LogRef，被测装置回复否定响应为"object-non-existent"</w:t>
            </w:r>
          </w:p>
          <w:p>
            <w:pPr>
              <w:rPr>
                <w:color w:val="auto"/>
                <w:highlight w:val="none"/>
              </w:rPr>
            </w:pPr>
            <w:r>
              <w:rPr>
                <w:rFonts w:hint="eastAsia"/>
                <w:color w:val="auto"/>
                <w:highlight w:val="none"/>
              </w:rPr>
              <w:t>GetLogStatusValues请求未知的LCB，被测装置回复否定响应为"object-non-existent"</w:t>
            </w:r>
          </w:p>
          <w:p>
            <w:pPr>
              <w:rPr>
                <w:color w:val="auto"/>
                <w:highlight w:val="none"/>
              </w:rPr>
            </w:pPr>
            <w:r>
              <w:rPr>
                <w:rFonts w:hint="eastAsia"/>
                <w:color w:val="auto"/>
                <w:highlight w:val="none"/>
              </w:rPr>
              <w:t>12.日志控制块的错误配置：</w:t>
            </w:r>
          </w:p>
          <w:p>
            <w:pPr>
              <w:rPr>
                <w:color w:val="auto"/>
                <w:highlight w:val="none"/>
              </w:rPr>
            </w:pPr>
            <w:r>
              <w:rPr>
                <w:rFonts w:hint="eastAsia"/>
                <w:color w:val="auto"/>
                <w:highlight w:val="none"/>
              </w:rPr>
              <w:t>检查日志控制块在使能时配置可写属性如“LogRef,、DatSet、TrgOps、IntgPd”，响应为服务差错“temporarily‐unavailable”</w:t>
            </w:r>
          </w:p>
          <w:p>
            <w:pPr>
              <w:rPr>
                <w:color w:val="auto"/>
                <w:highlight w:val="none"/>
              </w:rPr>
            </w:pPr>
            <w:r>
              <w:rPr>
                <w:rFonts w:hint="eastAsia"/>
                <w:color w:val="auto"/>
                <w:highlight w:val="none"/>
              </w:rPr>
              <w:t>检查日志控制块在未使能时配置不可写属性如“OldEntrTm,NewEntrTm, OldEnt and NewEnt”以及模型文件中声明为“fix” or “conf”的属性，响应为服务差错“object-access-denied”</w:t>
            </w:r>
          </w:p>
          <w:p>
            <w:pPr>
              <w:rPr>
                <w:color w:val="auto"/>
                <w:highlight w:val="none"/>
              </w:rPr>
            </w:pPr>
            <w:r>
              <w:rPr>
                <w:rFonts w:hint="eastAsia"/>
                <w:color w:val="auto"/>
                <w:highlight w:val="none"/>
              </w:rPr>
              <w:t>检查日志控制块在未使能时配置可写属性但写入的属性值不满足要求时，如DataSet（若DatSet为可写属性时），响应为服务差错“object-value-invalid”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outlineLvl w:val="2"/>
        <w:rPr>
          <w:color w:val="auto"/>
          <w:highlight w:val="none"/>
        </w:rPr>
      </w:pPr>
      <w:bookmarkStart w:id="384" w:name="_Toc528273646"/>
      <w:bookmarkStart w:id="385" w:name="_Toc484019030"/>
      <w:r>
        <w:rPr>
          <w:rFonts w:hint="eastAsia"/>
          <w:color w:val="auto"/>
          <w:highlight w:val="none"/>
        </w:rPr>
        <w:t xml:space="preserve">B.14 </w:t>
      </w:r>
      <w:r>
        <w:rPr>
          <w:color w:val="auto"/>
          <w:highlight w:val="none"/>
        </w:rPr>
        <w:t>组合测试</w:t>
      </w:r>
      <w:bookmarkEnd w:id="384"/>
      <w:bookmarkEnd w:id="385"/>
    </w:p>
    <w:tbl>
      <w:tblPr>
        <w:tblStyle w:val="4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320"/>
        <w:gridCol w:w="809"/>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测试用例名称</w:t>
            </w:r>
          </w:p>
        </w:tc>
        <w:tc>
          <w:tcPr>
            <w:tcW w:w="4320"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组合测试</w:t>
            </w:r>
          </w:p>
        </w:tc>
        <w:tc>
          <w:tcPr>
            <w:tcW w:w="809"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编号</w:t>
            </w:r>
          </w:p>
        </w:tc>
        <w:tc>
          <w:tcPr>
            <w:tcW w:w="2611"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fldChar w:fldCharType="begin"/>
            </w:r>
            <w:r>
              <w:rPr>
                <w:color w:val="auto"/>
                <w:highlight w:val="none"/>
              </w:rPr>
              <w:instrText xml:space="preserve"> HYPERLINK "file:///D:\\mydoc\\临时工作\\2017南网送样检测启动会\\Yinqingwei\\AppData\\Local\\Microsoft\\Windows\\Temporary%20Internet%20Files\\通信测试用例%20-V0.2-20150726.xlsx" \l "具体用例!B1141" </w:instrText>
            </w:r>
            <w:r>
              <w:rPr>
                <w:color w:val="auto"/>
                <w:highlight w:val="none"/>
              </w:rPr>
              <w:fldChar w:fldCharType="separate"/>
            </w:r>
            <w:r>
              <w:rPr>
                <w:color w:val="auto"/>
                <w:highlight w:val="none"/>
              </w:rPr>
              <w:t>Temp-Ser14</w:t>
            </w:r>
            <w:r>
              <w:rPr>
                <w:color w:val="auto"/>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来源</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 860.72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所属项目</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color w:val="auto"/>
                <w:highlight w:val="none"/>
              </w:rPr>
              <w:t>DL/T860</w:t>
            </w:r>
            <w:r>
              <w:rPr>
                <w:rFonts w:hint="eastAsia"/>
                <w:color w:val="auto"/>
                <w:highlight w:val="none"/>
              </w:rPr>
              <w:t>一致性测试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测试要求</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被测装置的组合测试。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预期结果</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测试在请求其他服务期间报告和控制服务是否能保持规定性能。</w:t>
            </w:r>
          </w:p>
          <w:p>
            <w:pPr>
              <w:rPr>
                <w:color w:val="auto"/>
                <w:highlight w:val="none"/>
              </w:rPr>
            </w:pPr>
            <w:r>
              <w:rPr>
                <w:rFonts w:hint="eastAsia"/>
                <w:color w:val="auto"/>
                <w:highlight w:val="none"/>
              </w:rPr>
              <w:t>组合服务：Reporting, File Transfer等带有客户请求服务均</w:t>
            </w:r>
            <w:r>
              <w:rPr>
                <w:color w:val="auto"/>
                <w:highlight w:val="none"/>
              </w:rPr>
              <w:t>能正确响应</w:t>
            </w:r>
            <w:r>
              <w:rPr>
                <w:rFonts w:hint="eastAsia"/>
                <w:color w:val="auto"/>
                <w:highlight w:val="none"/>
              </w:rPr>
              <w:t>。</w:t>
            </w:r>
          </w:p>
          <w:p>
            <w:pPr>
              <w:rPr>
                <w:color w:val="auto"/>
                <w:highlight w:val="none"/>
              </w:rPr>
            </w:pPr>
            <w:r>
              <w:rPr>
                <w:rFonts w:hint="eastAsia"/>
                <w:color w:val="auto"/>
                <w:highlight w:val="none"/>
              </w:rPr>
              <w:t>启动所有支持的请求和控制服务，每一个请求都能</w:t>
            </w:r>
            <w:r>
              <w:rPr>
                <w:color w:val="auto"/>
                <w:highlight w:val="none"/>
              </w:rPr>
              <w:t>即时</w:t>
            </w:r>
            <w:r>
              <w:rPr>
                <w:rFonts w:hint="eastAsia"/>
                <w:color w:val="auto"/>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测试方法</w:t>
            </w:r>
          </w:p>
        </w:tc>
        <w:tc>
          <w:tcPr>
            <w:tcW w:w="7740" w:type="dxa"/>
            <w:gridSpan w:val="3"/>
            <w:tcBorders>
              <w:top w:val="single" w:color="auto" w:sz="4" w:space="0"/>
              <w:left w:val="single" w:color="auto" w:sz="4" w:space="0"/>
              <w:bottom w:val="single" w:color="auto" w:sz="4" w:space="0"/>
              <w:right w:val="single" w:color="auto" w:sz="4" w:space="0"/>
            </w:tcBorders>
          </w:tcPr>
          <w:p>
            <w:pPr>
              <w:rPr>
                <w:color w:val="auto"/>
                <w:highlight w:val="none"/>
              </w:rPr>
            </w:pPr>
            <w:r>
              <w:rPr>
                <w:rFonts w:hint="eastAsia"/>
                <w:color w:val="auto"/>
                <w:highlight w:val="none"/>
              </w:rPr>
              <w:t>1.组合服务：Reporting, File Transfer等带有客户请求服务</w:t>
            </w:r>
          </w:p>
          <w:p>
            <w:pPr>
              <w:rPr>
                <w:color w:val="auto"/>
                <w:highlight w:val="none"/>
              </w:rPr>
            </w:pPr>
            <w:r>
              <w:rPr>
                <w:rFonts w:hint="eastAsia"/>
                <w:color w:val="auto"/>
                <w:highlight w:val="none"/>
              </w:rPr>
              <w:t>使能报告</w:t>
            </w:r>
          </w:p>
          <w:p>
            <w:pPr>
              <w:rPr>
                <w:color w:val="auto"/>
                <w:highlight w:val="none"/>
              </w:rPr>
            </w:pPr>
            <w:r>
              <w:rPr>
                <w:rFonts w:hint="eastAsia"/>
                <w:color w:val="auto"/>
                <w:highlight w:val="none"/>
              </w:rPr>
              <w:t>使能时间同步</w:t>
            </w:r>
          </w:p>
          <w:p>
            <w:pPr>
              <w:rPr>
                <w:color w:val="auto"/>
                <w:highlight w:val="none"/>
              </w:rPr>
            </w:pPr>
            <w:r>
              <w:rPr>
                <w:rFonts w:hint="eastAsia"/>
                <w:color w:val="auto"/>
                <w:highlight w:val="none"/>
              </w:rPr>
              <w:t>使能文件传输</w:t>
            </w:r>
          </w:p>
          <w:p>
            <w:pPr>
              <w:rPr>
                <w:color w:val="auto"/>
                <w:highlight w:val="none"/>
              </w:rPr>
            </w:pPr>
            <w:r>
              <w:rPr>
                <w:rFonts w:hint="eastAsia"/>
                <w:color w:val="auto"/>
                <w:highlight w:val="none"/>
              </w:rPr>
              <w:t>使能其他支持的，占用服务器处理时间的服务使能</w:t>
            </w:r>
          </w:p>
          <w:p>
            <w:pPr>
              <w:rPr>
                <w:color w:val="auto"/>
                <w:highlight w:val="none"/>
              </w:rPr>
            </w:pPr>
            <w:r>
              <w:rPr>
                <w:rFonts w:hint="eastAsia"/>
                <w:color w:val="auto"/>
                <w:highlight w:val="none"/>
              </w:rPr>
              <w:t>2．启动所有支持的请求和控制服务，一个请求有响应时立即发出新的请求。连续进行 10分钟。</w:t>
            </w:r>
          </w:p>
          <w:p>
            <w:pPr>
              <w:rPr>
                <w:color w:val="auto"/>
                <w:highlight w:val="none"/>
              </w:rPr>
            </w:pPr>
            <w:r>
              <w:rPr>
                <w:rFonts w:hint="eastAsia"/>
                <w:color w:val="auto"/>
                <w:highlight w:val="none"/>
              </w:rPr>
              <w:t>请求逻辑服务器、逻辑节点和数据</w:t>
            </w:r>
            <w:r>
              <w:rPr>
                <w:color w:val="auto"/>
                <w:highlight w:val="none"/>
              </w:rPr>
              <w:t xml:space="preserve"> GetDataValues</w:t>
            </w:r>
            <w:r>
              <w:rPr>
                <w:rFonts w:hint="eastAsia"/>
                <w:color w:val="auto"/>
                <w:highlight w:val="none"/>
              </w:rPr>
              <w:t>服务。</w:t>
            </w:r>
          </w:p>
          <w:p>
            <w:pPr>
              <w:rPr>
                <w:color w:val="auto"/>
                <w:highlight w:val="none"/>
              </w:rPr>
            </w:pPr>
            <w:r>
              <w:rPr>
                <w:rFonts w:hint="eastAsia"/>
                <w:color w:val="auto"/>
                <w:highlight w:val="none"/>
              </w:rPr>
              <w:t>请求</w:t>
            </w:r>
            <w:r>
              <w:rPr>
                <w:color w:val="auto"/>
                <w:highlight w:val="none"/>
              </w:rPr>
              <w:t xml:space="preserve"> GetDataSetValue</w:t>
            </w:r>
            <w:r>
              <w:rPr>
                <w:rFonts w:hint="eastAsia"/>
                <w:color w:val="auto"/>
                <w:highlight w:val="none"/>
              </w:rPr>
              <w:t>服务</w:t>
            </w:r>
          </w:p>
          <w:p>
            <w:pPr>
              <w:rPr>
                <w:color w:val="auto"/>
                <w:highlight w:val="none"/>
              </w:rPr>
            </w:pPr>
            <w:r>
              <w:rPr>
                <w:rFonts w:hint="eastAsia"/>
                <w:color w:val="auto"/>
                <w:highlight w:val="none"/>
              </w:rPr>
              <w:t>请求</w:t>
            </w:r>
            <w:r>
              <w:rPr>
                <w:color w:val="auto"/>
                <w:highlight w:val="none"/>
              </w:rPr>
              <w:t xml:space="preserve"> GetBRCBValue</w:t>
            </w:r>
            <w:r>
              <w:rPr>
                <w:rFonts w:hint="eastAsia"/>
                <w:color w:val="auto"/>
                <w:highlight w:val="none"/>
              </w:rPr>
              <w:t>服务</w:t>
            </w:r>
          </w:p>
          <w:p>
            <w:pPr>
              <w:rPr>
                <w:color w:val="auto"/>
                <w:highlight w:val="none"/>
              </w:rPr>
            </w:pPr>
            <w:r>
              <w:rPr>
                <w:rFonts w:hint="eastAsia"/>
                <w:color w:val="auto"/>
                <w:highlight w:val="none"/>
              </w:rPr>
              <w:t>请求</w:t>
            </w:r>
            <w:r>
              <w:rPr>
                <w:color w:val="auto"/>
                <w:highlight w:val="none"/>
              </w:rPr>
              <w:t>QueryLog</w:t>
            </w:r>
            <w:r>
              <w:rPr>
                <w:rFonts w:hint="eastAsia"/>
                <w:color w:val="auto"/>
                <w:highlight w:val="none"/>
              </w:rPr>
              <w:t>服务</w:t>
            </w:r>
          </w:p>
          <w:p>
            <w:pPr>
              <w:rPr>
                <w:color w:val="auto"/>
                <w:highlight w:val="none"/>
              </w:rPr>
            </w:pPr>
            <w:r>
              <w:rPr>
                <w:rFonts w:hint="eastAsia"/>
                <w:color w:val="auto"/>
                <w:highlight w:val="none"/>
              </w:rPr>
              <w:t>请求</w:t>
            </w:r>
            <w:r>
              <w:rPr>
                <w:color w:val="auto"/>
                <w:highlight w:val="none"/>
              </w:rPr>
              <w:t>GetFile</w:t>
            </w:r>
            <w:r>
              <w:rPr>
                <w:rFonts w:hint="eastAsia"/>
                <w:color w:val="auto"/>
                <w:highlight w:val="none"/>
              </w:rPr>
              <w:t>服务</w:t>
            </w:r>
          </w:p>
          <w:p>
            <w:pPr>
              <w:rPr>
                <w:color w:val="auto"/>
                <w:highlight w:val="none"/>
              </w:rPr>
            </w:pPr>
            <w:r>
              <w:rPr>
                <w:rFonts w:hint="eastAsia"/>
                <w:color w:val="auto"/>
                <w:highlight w:val="none"/>
              </w:rPr>
              <w:t>选择和操作控制对象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修订记录</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88" w:type="dxa"/>
            <w:tcBorders>
              <w:top w:val="single" w:color="auto" w:sz="4" w:space="0"/>
              <w:left w:val="single" w:color="auto" w:sz="4" w:space="0"/>
              <w:bottom w:val="single" w:color="auto" w:sz="4" w:space="0"/>
              <w:right w:val="single" w:color="auto" w:sz="4" w:space="0"/>
            </w:tcBorders>
            <w:vAlign w:val="center"/>
          </w:tcPr>
          <w:p>
            <w:pPr>
              <w:rPr>
                <w:color w:val="auto"/>
                <w:highlight w:val="none"/>
              </w:rPr>
            </w:pPr>
            <w:r>
              <w:rPr>
                <w:rFonts w:hint="eastAsia"/>
                <w:color w:val="auto"/>
                <w:highlight w:val="none"/>
              </w:rPr>
              <w:t>备注</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rPr>
                <w:color w:val="auto"/>
                <w:highlight w:val="none"/>
              </w:rPr>
            </w:pPr>
          </w:p>
        </w:tc>
      </w:tr>
    </w:tbl>
    <w:p>
      <w:pPr>
        <w:rPr>
          <w:color w:val="auto"/>
          <w:highlight w:val="none"/>
        </w:rPr>
      </w:pPr>
    </w:p>
    <w:p>
      <w:pPr>
        <w:rPr>
          <w:bCs/>
          <w:color w:val="auto"/>
          <w:highlight w:val="none"/>
        </w:rPr>
      </w:pPr>
    </w:p>
    <w:p>
      <w:pPr>
        <w:rPr>
          <w:color w:val="auto"/>
          <w:highlight w:val="none"/>
        </w:rPr>
      </w:pPr>
    </w:p>
    <w:sectPr>
      <w:footerReference r:id="rId7" w:type="first"/>
      <w:headerReference r:id="rId5" w:type="default"/>
      <w:footerReference r:id="rId6"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Swiss">
    <w:altName w:val="Times New Roman"/>
    <w:panose1 w:val="00000000000000000000"/>
    <w:charset w:val="00"/>
    <w:family w:val="auto"/>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Thames">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t>II</w:t>
    </w:r>
    <w:r>
      <w:fldChar w:fldCharType="end"/>
    </w:r>
  </w:p>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2"/>
      </w:rPr>
    </w:pPr>
    <w:r>
      <w:fldChar w:fldCharType="begin"/>
    </w:r>
    <w:r>
      <w:rPr>
        <w:rStyle w:val="52"/>
      </w:rPr>
      <w:instrText xml:space="preserve">PAGE  </w:instrText>
    </w:r>
    <w:r>
      <w:fldChar w:fldCharType="separate"/>
    </w:r>
    <w:r>
      <w:rPr>
        <w:rStyle w:val="52"/>
      </w:rPr>
      <w:t>6</w:t>
    </w:r>
    <w:r>
      <w:fldChar w:fldCharType="end"/>
    </w:r>
  </w:p>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12065" b="14605"/>
              <wp:wrapNone/>
              <wp:docPr id="2"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BUJxdTACAABTBAAADgAAAAAAAAABACAAAAAhAQAAZHJzL2Uyb0RvYy54bWxQSwUG&#10;AAAAAAYABgBZAQAAw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98</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12065" b="14605"/>
              <wp:wrapNone/>
              <wp:docPr id="4" name="文本框 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j+3b1jACAABTBAAADgAAAAAAAAABACAAAAAhAQAAZHJzL2Uyb0RvYy54bWxQSwUG&#10;AAAAAAYABgBZAQAAw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167"/>
      <w:lvlText w:val=""/>
      <w:lvlJc w:val="left"/>
      <w:pPr>
        <w:tabs>
          <w:tab w:val="left" w:pos="1200"/>
        </w:tabs>
        <w:ind w:left="1200" w:leftChars="400" w:hanging="360" w:hangingChars="200"/>
      </w:pPr>
      <w:rPr>
        <w:rFonts w:hint="default" w:ascii="Wingdings" w:hAnsi="Wingdings"/>
      </w:rPr>
    </w:lvl>
  </w:abstractNum>
  <w:abstractNum w:abstractNumId="1">
    <w:nsid w:val="00000002"/>
    <w:multiLevelType w:val="multilevel"/>
    <w:tmpl w:val="00000002"/>
    <w:lvl w:ilvl="0" w:tentative="0">
      <w:start w:val="1"/>
      <w:numFmt w:val="decimal"/>
      <w:lvlText w:val="%1"/>
      <w:lvlJc w:val="center"/>
      <w:pPr>
        <w:tabs>
          <w:tab w:val="left" w:pos="132"/>
        </w:tabs>
        <w:ind w:left="132" w:hanging="132"/>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0000011"/>
    <w:multiLevelType w:val="multilevel"/>
    <w:tmpl w:val="00000011"/>
    <w:lvl w:ilvl="0" w:tentative="0">
      <w:start w:val="1"/>
      <w:numFmt w:val="decimal"/>
      <w:lvlText w:val="%1"/>
      <w:lvlJc w:val="center"/>
      <w:pPr>
        <w:tabs>
          <w:tab w:val="left" w:pos="132"/>
        </w:tabs>
        <w:ind w:left="132"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48"/>
    <w:multiLevelType w:val="multilevel"/>
    <w:tmpl w:val="00000048"/>
    <w:lvl w:ilvl="0" w:tentative="0">
      <w:start w:val="1"/>
      <w:numFmt w:val="decimal"/>
      <w:lvlText w:val="%1"/>
      <w:lvlJc w:val="center"/>
      <w:pPr>
        <w:tabs>
          <w:tab w:val="left" w:pos="132"/>
        </w:tabs>
        <w:ind w:left="132" w:hanging="13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12800B8"/>
    <w:multiLevelType w:val="multilevel"/>
    <w:tmpl w:val="012800B8"/>
    <w:lvl w:ilvl="0" w:tentative="0">
      <w:start w:val="1"/>
      <w:numFmt w:val="none"/>
      <w:pStyle w:val="118"/>
      <w:lvlText w:val="图"/>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pStyle w:val="143"/>
      <w:suff w:val="nothing"/>
      <w:lvlText w:val="%1%2.%3　"/>
      <w:lvlJc w:val="left"/>
      <w:pPr>
        <w:ind w:left="0" w:firstLine="0"/>
      </w:pPr>
      <w:rPr>
        <w:rFonts w:hint="eastAsia" w:ascii="黑体" w:hAnsi="Times New Roman" w:eastAsia="黑体"/>
        <w:b/>
        <w:i w:val="0"/>
        <w:sz w:val="21"/>
      </w:rPr>
    </w:lvl>
    <w:lvl w:ilvl="3" w:tentative="0">
      <w:start w:val="1"/>
      <w:numFmt w:val="decimal"/>
      <w:pStyle w:val="97"/>
      <w:suff w:val="nothing"/>
      <w:lvlText w:val="%1%2.%3.%4　"/>
      <w:lvlJc w:val="left"/>
      <w:pPr>
        <w:ind w:left="0" w:firstLine="0"/>
      </w:pPr>
      <w:rPr>
        <w:rFonts w:hint="eastAsia" w:ascii="黑体" w:hAnsi="Times New Roman" w:eastAsia="黑体"/>
        <w:b/>
        <w:i w:val="0"/>
        <w:sz w:val="21"/>
      </w:rPr>
    </w:lvl>
    <w:lvl w:ilvl="4" w:tentative="0">
      <w:start w:val="1"/>
      <w:numFmt w:val="decimal"/>
      <w:pStyle w:val="131"/>
      <w:suff w:val="nothing"/>
      <w:lvlText w:val="%1%2.%3.%4.%5　"/>
      <w:lvlJc w:val="left"/>
      <w:pPr>
        <w:ind w:left="0" w:firstLine="0"/>
      </w:pPr>
      <w:rPr>
        <w:rFonts w:hint="eastAsia" w:ascii="黑体" w:hAnsi="Times New Roman" w:eastAsia="黑体"/>
        <w:b/>
        <w:i w:val="0"/>
        <w:sz w:val="21"/>
      </w:rPr>
    </w:lvl>
    <w:lvl w:ilvl="5" w:tentative="0">
      <w:start w:val="1"/>
      <w:numFmt w:val="decimal"/>
      <w:pStyle w:val="136"/>
      <w:suff w:val="nothing"/>
      <w:lvlText w:val="%1%2.%3.%4.%5.%6　"/>
      <w:lvlJc w:val="left"/>
      <w:pPr>
        <w:ind w:left="0" w:firstLine="0"/>
      </w:pPr>
      <w:rPr>
        <w:rFonts w:hint="eastAsia" w:ascii="黑体" w:hAnsi="Times New Roman" w:eastAsia="黑体"/>
        <w:b/>
        <w:i w:val="0"/>
        <w:sz w:val="21"/>
      </w:rPr>
    </w:lvl>
    <w:lvl w:ilvl="6" w:tentative="0">
      <w:start w:val="1"/>
      <w:numFmt w:val="decimal"/>
      <w:pStyle w:val="142"/>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8210416"/>
    <w:multiLevelType w:val="multilevel"/>
    <w:tmpl w:val="0821041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87406A2"/>
    <w:multiLevelType w:val="multilevel"/>
    <w:tmpl w:val="087406A2"/>
    <w:lvl w:ilvl="0" w:tentative="0">
      <w:start w:val="1"/>
      <w:numFmt w:val="none"/>
      <w:pStyle w:val="133"/>
      <w:lvlText w:val="%1示例"/>
      <w:lvlJc w:val="left"/>
      <w:pPr>
        <w:tabs>
          <w:tab w:val="left" w:pos="1140"/>
        </w:tabs>
        <w:ind w:left="2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112"/>
      <w:lvlText w:val="表%2"/>
      <w:lvlJc w:val="left"/>
      <w:pPr>
        <w:tabs>
          <w:tab w:val="left" w:pos="360"/>
        </w:tabs>
        <w:ind w:left="0" w:firstLine="0"/>
      </w:pPr>
      <w:rPr>
        <w:rFonts w:hint="eastAsia" w:ascii="黑体" w:hAnsi="Times New Roman" w:eastAsia="黑体"/>
        <w:b/>
        <w:i w:val="0"/>
        <w:sz w:val="20"/>
      </w:rPr>
    </w:lvl>
    <w:lvl w:ilvl="2" w:tentative="0">
      <w:start w:val="1"/>
      <w:numFmt w:val="none"/>
      <w:pStyle w:val="158"/>
      <w:suff w:val="nothing"/>
      <w:lvlText w:val="%1表%2(续)"/>
      <w:lvlJc w:val="left"/>
      <w:pPr>
        <w:ind w:left="0" w:firstLine="0"/>
      </w:pPr>
      <w:rPr>
        <w:rFonts w:hint="eastAsia" w:ascii="宋体" w:hAnsi="Times New Roman" w:eastAsia="宋体"/>
        <w:b w:val="0"/>
        <w:i w:val="0"/>
        <w:sz w:val="18"/>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9">
    <w:nsid w:val="0AE367E9"/>
    <w:multiLevelType w:val="multilevel"/>
    <w:tmpl w:val="0AE367E9"/>
    <w:lvl w:ilvl="0" w:tentative="0">
      <w:start w:val="1"/>
      <w:numFmt w:val="none"/>
      <w:pStyle w:val="162"/>
      <w:lvlText w:val="%1式中："/>
      <w:lvlJc w:val="left"/>
      <w:pPr>
        <w:tabs>
          <w:tab w:val="left" w:pos="918"/>
        </w:tabs>
        <w:ind w:left="0" w:firstLine="198"/>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AEE72EC"/>
    <w:multiLevelType w:val="multilevel"/>
    <w:tmpl w:val="0AEE72E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59666E"/>
    <w:multiLevelType w:val="multilevel"/>
    <w:tmpl w:val="0C59666E"/>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2">
    <w:nsid w:val="190D2C93"/>
    <w:multiLevelType w:val="multilevel"/>
    <w:tmpl w:val="190D2C9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3">
    <w:nsid w:val="1B136F61"/>
    <w:multiLevelType w:val="multilevel"/>
    <w:tmpl w:val="1B136F61"/>
    <w:lvl w:ilvl="0" w:tentative="0">
      <w:start w:val="1"/>
      <w:numFmt w:val="none"/>
      <w:pStyle w:val="111"/>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B802614"/>
    <w:multiLevelType w:val="multilevel"/>
    <w:tmpl w:val="1B802614"/>
    <w:lvl w:ilvl="0" w:tentative="0">
      <w:start w:val="1"/>
      <w:numFmt w:val="decimal"/>
      <w:pStyle w:val="137"/>
      <w:lvlText w:val="%1  "/>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1C5817FC"/>
    <w:multiLevelType w:val="multilevel"/>
    <w:tmpl w:val="1C5817FC"/>
    <w:lvl w:ilvl="0" w:tentative="0">
      <w:start w:val="1"/>
      <w:numFmt w:val="decimal"/>
      <w:lvlText w:val="%1"/>
      <w:lvlJc w:val="left"/>
      <w:pPr>
        <w:tabs>
          <w:tab w:val="left" w:pos="36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4F6104"/>
    <w:multiLevelType w:val="multilevel"/>
    <w:tmpl w:val="224F6104"/>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7">
    <w:nsid w:val="225B2F23"/>
    <w:multiLevelType w:val="multilevel"/>
    <w:tmpl w:val="225B2F2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3966073"/>
    <w:multiLevelType w:val="multilevel"/>
    <w:tmpl w:val="2396607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24255B1F"/>
    <w:multiLevelType w:val="multilevel"/>
    <w:tmpl w:val="24255B1F"/>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0">
    <w:nsid w:val="25626198"/>
    <w:multiLevelType w:val="multilevel"/>
    <w:tmpl w:val="2562619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264A17CC"/>
    <w:multiLevelType w:val="multilevel"/>
    <w:tmpl w:val="264A17CC"/>
    <w:lvl w:ilvl="0" w:tentative="0">
      <w:start w:val="1"/>
      <w:numFmt w:val="none"/>
      <w:pStyle w:val="159"/>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7F23A91"/>
    <w:multiLevelType w:val="multilevel"/>
    <w:tmpl w:val="27F23A91"/>
    <w:lvl w:ilvl="0" w:tentative="0">
      <w:start w:val="1"/>
      <w:numFmt w:val="decimal"/>
      <w:lvlText w:val="%1"/>
      <w:lvlJc w:val="center"/>
      <w:pPr>
        <w:tabs>
          <w:tab w:val="left" w:pos="132"/>
        </w:tabs>
        <w:ind w:left="132" w:hanging="132"/>
      </w:pPr>
    </w:lvl>
    <w:lvl w:ilvl="1" w:tentative="0">
      <w:start w:val="1"/>
      <w:numFmt w:val="lowerLetter"/>
      <w:lvlText w:val="%2)"/>
      <w:lvlJc w:val="left"/>
      <w:pPr>
        <w:tabs>
          <w:tab w:val="left" w:pos="840"/>
        </w:tabs>
        <w:ind w:left="840" w:hanging="420"/>
      </w:pPr>
    </w:lvl>
    <w:lvl w:ilvl="2" w:tentative="0">
      <w:start w:val="1"/>
      <w:numFmt w:val="lowerRoman"/>
      <w:pStyle w:val="16"/>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2B3E1C61"/>
    <w:multiLevelType w:val="multilevel"/>
    <w:tmpl w:val="2B3E1C61"/>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4">
    <w:nsid w:val="2E9A13D0"/>
    <w:multiLevelType w:val="multilevel"/>
    <w:tmpl w:val="2E9A13D0"/>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5">
    <w:nsid w:val="2FAC13EB"/>
    <w:multiLevelType w:val="multilevel"/>
    <w:tmpl w:val="2FAC13E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6">
    <w:nsid w:val="31A66D51"/>
    <w:multiLevelType w:val="multilevel"/>
    <w:tmpl w:val="31A66D5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32215617"/>
    <w:multiLevelType w:val="multilevel"/>
    <w:tmpl w:val="32215617"/>
    <w:lvl w:ilvl="0" w:tentative="0">
      <w:start w:val="1"/>
      <w:numFmt w:val="decimal"/>
      <w:lvlText w:val="0.%1"/>
      <w:lvlJc w:val="left"/>
      <w:pPr>
        <w:tabs>
          <w:tab w:val="left" w:pos="360"/>
        </w:tabs>
        <w:ind w:left="0" w:firstLine="0"/>
      </w:pPr>
      <w:rPr>
        <w:rFonts w:hint="eastAsia" w:ascii="黑体" w:hAnsi="Times New Roman" w:eastAsia="黑体"/>
        <w:b/>
        <w:i w:val="0"/>
        <w:sz w:val="21"/>
      </w:rPr>
    </w:lvl>
    <w:lvl w:ilvl="1" w:tentative="0">
      <w:start w:val="1"/>
      <w:numFmt w:val="decimal"/>
      <w:pStyle w:val="148"/>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w:lvlJc w:val="left"/>
      <w:pPr>
        <w:tabs>
          <w:tab w:val="left" w:pos="720"/>
        </w:tabs>
        <w:ind w:left="0" w:firstLine="0"/>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8">
    <w:nsid w:val="34D04A72"/>
    <w:multiLevelType w:val="multilevel"/>
    <w:tmpl w:val="34D04A72"/>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9">
    <w:nsid w:val="35AA0AD1"/>
    <w:multiLevelType w:val="multilevel"/>
    <w:tmpl w:val="35AA0AD1"/>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0">
    <w:nsid w:val="36E533D9"/>
    <w:multiLevelType w:val="multilevel"/>
    <w:tmpl w:val="36E533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37D6390D"/>
    <w:multiLevelType w:val="multilevel"/>
    <w:tmpl w:val="37D6390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07E65F9"/>
    <w:multiLevelType w:val="multilevel"/>
    <w:tmpl w:val="407E65F9"/>
    <w:lvl w:ilvl="0" w:tentative="0">
      <w:start w:val="1"/>
      <w:numFmt w:val="none"/>
      <w:pStyle w:val="125"/>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41A64E98"/>
    <w:multiLevelType w:val="multilevel"/>
    <w:tmpl w:val="41A64E98"/>
    <w:lvl w:ilvl="0" w:tentative="0">
      <w:start w:val="1"/>
      <w:numFmt w:val="decimal"/>
      <w:pStyle w:val="147"/>
      <w:lvlText w:val="0.%1"/>
      <w:lvlJc w:val="left"/>
      <w:pPr>
        <w:tabs>
          <w:tab w:val="left" w:pos="360"/>
        </w:tabs>
        <w:ind w:left="0" w:firstLine="0"/>
      </w:pPr>
      <w:rPr>
        <w:rFonts w:hint="eastAsia" w:ascii="宋体" w:hAnsi="Times New Roman" w:eastAsia="宋体"/>
        <w:b/>
        <w:i w:val="0"/>
        <w:sz w:val="21"/>
      </w:rPr>
    </w:lvl>
    <w:lvl w:ilvl="1" w:tentative="0">
      <w:start w:val="1"/>
      <w:numFmt w:val="decimal"/>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34">
    <w:nsid w:val="44F4154B"/>
    <w:multiLevelType w:val="multilevel"/>
    <w:tmpl w:val="44F4154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5">
    <w:nsid w:val="478338B5"/>
    <w:multiLevelType w:val="multilevel"/>
    <w:tmpl w:val="478338B5"/>
    <w:lvl w:ilvl="0" w:tentative="0">
      <w:start w:val="1"/>
      <w:numFmt w:val="none"/>
      <w:suff w:val="nothing"/>
      <w:lvlText w:val=""/>
      <w:lvlJc w:val="left"/>
      <w:pPr>
        <w:ind w:left="420" w:firstLine="0"/>
      </w:pPr>
      <w:rPr>
        <w:rFonts w:hint="eastAsia" w:ascii="黑体" w:hAnsi="Times New Roman" w:eastAsia="黑体"/>
        <w:b/>
        <w:i w:val="0"/>
        <w:sz w:val="28"/>
      </w:rPr>
    </w:lvl>
    <w:lvl w:ilvl="1" w:tentative="0">
      <w:start w:val="1"/>
      <w:numFmt w:val="lowerLetter"/>
      <w:pStyle w:val="146"/>
      <w:suff w:val="nothing"/>
      <w:lvlText w:val="%1%2)  "/>
      <w:lvlJc w:val="left"/>
      <w:pPr>
        <w:ind w:left="420" w:hanging="420"/>
      </w:pPr>
      <w:rPr>
        <w:rFonts w:hint="eastAsia" w:ascii="黑体" w:hAnsi="Times New Roman" w:eastAsia="黑体"/>
        <w:b/>
        <w:i w:val="0"/>
        <w:sz w:val="21"/>
      </w:rPr>
    </w:lvl>
    <w:lvl w:ilvl="2" w:tentative="0">
      <w:start w:val="1"/>
      <w:numFmt w:val="decimal"/>
      <w:pStyle w:val="134"/>
      <w:suff w:val="nothing"/>
      <w:lvlText w:val="    %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420" w:firstLine="0"/>
      </w:pPr>
      <w:rPr>
        <w:rFonts w:hint="eastAsia" w:ascii="黑体" w:hAnsi="Times New Roman" w:eastAsia="黑体"/>
        <w:b/>
        <w:i w:val="0"/>
        <w:sz w:val="21"/>
      </w:rPr>
    </w:lvl>
    <w:lvl w:ilvl="4" w:tentative="0">
      <w:start w:val="1"/>
      <w:numFmt w:val="decimal"/>
      <w:lvlRestart w:val="2"/>
      <w:suff w:val="nothing"/>
      <w:lvlText w:val="%2.0.%5  "/>
      <w:lvlJc w:val="left"/>
      <w:pPr>
        <w:ind w:left="420" w:firstLine="0"/>
      </w:pPr>
      <w:rPr>
        <w:rFonts w:hint="eastAsia" w:ascii="黑体" w:hAnsi="Times New Roman" w:eastAsia="黑体"/>
        <w:b/>
        <w:i w:val="0"/>
        <w:sz w:val="21"/>
      </w:rPr>
    </w:lvl>
    <w:lvl w:ilvl="5" w:tentative="0">
      <w:start w:val="1"/>
      <w:numFmt w:val="decimal"/>
      <w:suff w:val="nothing"/>
      <w:lvlText w:val="      %6)  "/>
      <w:lvlJc w:val="left"/>
      <w:pPr>
        <w:ind w:left="1441" w:hanging="1021"/>
      </w:pPr>
      <w:rPr>
        <w:rFonts w:hint="eastAsia" w:ascii="黑体" w:hAnsi="Times New Roman" w:eastAsia="黑体"/>
        <w:b/>
        <w:i w:val="0"/>
        <w:sz w:val="21"/>
      </w:rPr>
    </w:lvl>
    <w:lvl w:ilvl="6" w:tentative="0">
      <w:start w:val="1"/>
      <w:numFmt w:val="decimal"/>
      <w:lvlRestart w:val="4"/>
      <w:suff w:val="nothing"/>
      <w:lvlText w:val="表 %2.%3.%4-%7  "/>
      <w:lvlJc w:val="left"/>
      <w:pPr>
        <w:ind w:left="420" w:firstLine="0"/>
      </w:pPr>
      <w:rPr>
        <w:rFonts w:hint="eastAsia" w:ascii="黑体" w:hAnsi="Times New Roman" w:eastAsia="黑体"/>
        <w:b/>
        <w:i w:val="0"/>
        <w:sz w:val="21"/>
      </w:rPr>
    </w:lvl>
    <w:lvl w:ilvl="7" w:tentative="0">
      <w:start w:val="1"/>
      <w:numFmt w:val="decimal"/>
      <w:lvlRestart w:val="4"/>
      <w:suff w:val="nothing"/>
      <w:lvlText w:val="图 %2.%3.%4-%8  "/>
      <w:lvlJc w:val="left"/>
      <w:pPr>
        <w:ind w:left="420" w:firstLine="0"/>
      </w:pPr>
      <w:rPr>
        <w:rFonts w:hint="eastAsia" w:ascii="黑体" w:eastAsia="黑体"/>
        <w:b/>
        <w:i w:val="0"/>
        <w:sz w:val="21"/>
      </w:rPr>
    </w:lvl>
    <w:lvl w:ilvl="8" w:tentative="0">
      <w:start w:val="1"/>
      <w:numFmt w:val="decimal"/>
      <w:lvlRestart w:val="5"/>
      <w:suff w:val="nothing"/>
      <w:lvlText w:val="    %9  "/>
      <w:lvlJc w:val="left"/>
      <w:pPr>
        <w:ind w:left="420" w:firstLine="0"/>
      </w:pPr>
      <w:rPr>
        <w:rFonts w:hint="eastAsia" w:ascii="黑体" w:hAnsi="华文细黑" w:eastAsia="黑体"/>
        <w:b/>
        <w:i w:val="0"/>
        <w:sz w:val="21"/>
      </w:rPr>
    </w:lvl>
  </w:abstractNum>
  <w:abstractNum w:abstractNumId="36">
    <w:nsid w:val="496E4D7B"/>
    <w:multiLevelType w:val="multilevel"/>
    <w:tmpl w:val="496E4D7B"/>
    <w:lvl w:ilvl="0" w:tentative="0">
      <w:start w:val="1"/>
      <w:numFmt w:val="none"/>
      <w:pStyle w:val="14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4C3717B7"/>
    <w:multiLevelType w:val="multilevel"/>
    <w:tmpl w:val="4C3717B7"/>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8">
    <w:nsid w:val="55E02EF4"/>
    <w:multiLevelType w:val="multilevel"/>
    <w:tmpl w:val="55E02EF4"/>
    <w:lvl w:ilvl="0" w:tentative="0">
      <w:start w:val="1"/>
      <w:numFmt w:val="decimal"/>
      <w:pStyle w:val="119"/>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5C6D0B5D"/>
    <w:multiLevelType w:val="multilevel"/>
    <w:tmpl w:val="5C6D0B5D"/>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0">
    <w:nsid w:val="5CB71D8D"/>
    <w:multiLevelType w:val="multilevel"/>
    <w:tmpl w:val="5CB71D8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656E7BB8"/>
    <w:multiLevelType w:val="multilevel"/>
    <w:tmpl w:val="656E7BB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94"/>
      <w:lvlText w:val="%1%2"/>
      <w:lvlJc w:val="left"/>
      <w:pPr>
        <w:tabs>
          <w:tab w:val="left" w:pos="360"/>
        </w:tabs>
        <w:ind w:left="0" w:firstLine="0"/>
      </w:pPr>
      <w:rPr>
        <w:rFonts w:hint="eastAsia" w:ascii="黑体" w:hAnsi="Times New Roman" w:eastAsia="黑体"/>
        <w:b/>
        <w:i w:val="0"/>
        <w:sz w:val="20"/>
      </w:rPr>
    </w:lvl>
    <w:lvl w:ilvl="2" w:tentative="0">
      <w:start w:val="1"/>
      <w:numFmt w:val="lowerLetter"/>
      <w:pStyle w:val="95"/>
      <w:lvlText w:val="%3)"/>
      <w:lvlJc w:val="left"/>
      <w:pPr>
        <w:tabs>
          <w:tab w:val="left" w:pos="720"/>
        </w:tabs>
        <w:ind w:left="0" w:firstLine="0"/>
      </w:pPr>
      <w:rPr>
        <w:rFonts w:hint="eastAsia"/>
        <w:b/>
        <w:i w:val="0"/>
        <w:sz w:val="21"/>
      </w:rPr>
    </w:lvl>
    <w:lvl w:ilvl="3" w:tentative="0">
      <w:start w:val="1"/>
      <w:numFmt w:val="decimal"/>
      <w:pStyle w:val="96"/>
      <w:lvlText w:val="%1%2.%3.%4"/>
      <w:lvlJc w:val="left"/>
      <w:pPr>
        <w:tabs>
          <w:tab w:val="left" w:pos="1035"/>
        </w:tabs>
        <w:ind w:left="315" w:firstLine="0"/>
      </w:pPr>
      <w:rPr>
        <w:rFonts w:hint="eastAsia" w:ascii="黑体" w:hAnsi="Times New Roman" w:eastAsia="黑体"/>
        <w:b/>
        <w:i w:val="0"/>
        <w:sz w:val="21"/>
      </w:rPr>
    </w:lvl>
    <w:lvl w:ilvl="4" w:tentative="0">
      <w:start w:val="1"/>
      <w:numFmt w:val="decimal"/>
      <w:pStyle w:val="130"/>
      <w:lvlText w:val="%2.%3.%4.%5"/>
      <w:lvlJc w:val="left"/>
      <w:pPr>
        <w:tabs>
          <w:tab w:val="left" w:pos="1080"/>
        </w:tabs>
        <w:ind w:left="0" w:firstLine="0"/>
      </w:pPr>
      <w:rPr>
        <w:rFonts w:hint="eastAsia" w:ascii="黑体" w:hAnsi="Times New Roman" w:eastAsia="黑体"/>
        <w:b/>
        <w:i w:val="0"/>
        <w:sz w:val="21"/>
      </w:rPr>
    </w:lvl>
    <w:lvl w:ilvl="5" w:tentative="0">
      <w:start w:val="1"/>
      <w:numFmt w:val="decimal"/>
      <w:pStyle w:val="135"/>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pStyle w:val="141"/>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42">
    <w:nsid w:val="657D3FBC"/>
    <w:multiLevelType w:val="multilevel"/>
    <w:tmpl w:val="657D3FBC"/>
    <w:lvl w:ilvl="0" w:tentative="0">
      <w:start w:val="1"/>
      <w:numFmt w:val="upperLetter"/>
      <w:pStyle w:val="110"/>
      <w:suff w:val="nothing"/>
      <w:lvlText w:val="附录  %1"/>
      <w:lvlJc w:val="left"/>
      <w:pPr>
        <w:ind w:left="0" w:firstLine="0"/>
      </w:pPr>
      <w:rPr>
        <w:rFonts w:hint="eastAsia" w:ascii="黑体" w:hAnsi="Times New Roman" w:eastAsia="黑体"/>
        <w:b/>
        <w:i w:val="0"/>
        <w:sz w:val="21"/>
      </w:rPr>
    </w:lvl>
    <w:lvl w:ilvl="1" w:tentative="0">
      <w:start w:val="1"/>
      <w:numFmt w:val="decimal"/>
      <w:pStyle w:val="113"/>
      <w:suff w:val="nothing"/>
      <w:lvlText w:val="%1.%2　"/>
      <w:lvlJc w:val="left"/>
      <w:pPr>
        <w:ind w:left="0" w:firstLine="0"/>
      </w:pPr>
      <w:rPr>
        <w:rFonts w:hint="eastAsia" w:ascii="黑体" w:hAnsi="Times New Roman" w:eastAsia="黑体"/>
        <w:b/>
        <w:i w:val="0"/>
        <w:snapToGrid/>
        <w:spacing w:val="0"/>
        <w:w w:val="100"/>
        <w:kern w:val="21"/>
        <w:sz w:val="21"/>
      </w:rPr>
    </w:lvl>
    <w:lvl w:ilvl="2" w:tentative="0">
      <w:start w:val="1"/>
      <w:numFmt w:val="decimal"/>
      <w:pStyle w:val="114"/>
      <w:suff w:val="nothing"/>
      <w:lvlText w:val="%1.%2.%3　"/>
      <w:lvlJc w:val="left"/>
      <w:pPr>
        <w:ind w:left="0" w:firstLine="0"/>
      </w:pPr>
      <w:rPr>
        <w:rFonts w:hint="eastAsia" w:ascii="黑体" w:hAnsi="Times New Roman" w:eastAsia="黑体"/>
        <w:b/>
        <w:i w:val="0"/>
        <w:sz w:val="21"/>
      </w:rPr>
    </w:lvl>
    <w:lvl w:ilvl="3" w:tentative="0">
      <w:start w:val="1"/>
      <w:numFmt w:val="decimal"/>
      <w:pStyle w:val="115"/>
      <w:suff w:val="nothing"/>
      <w:lvlText w:val="%1.%2.%3.%4　"/>
      <w:lvlJc w:val="left"/>
      <w:pPr>
        <w:ind w:left="0" w:firstLine="0"/>
      </w:pPr>
      <w:rPr>
        <w:rFonts w:hint="eastAsia" w:ascii="黑体" w:hAnsi="Times New Roman" w:eastAsia="黑体"/>
        <w:b/>
        <w:i w:val="0"/>
        <w:sz w:val="21"/>
      </w:rPr>
    </w:lvl>
    <w:lvl w:ilvl="4" w:tentative="0">
      <w:start w:val="1"/>
      <w:numFmt w:val="decimal"/>
      <w:pStyle w:val="116"/>
      <w:suff w:val="nothing"/>
      <w:lvlText w:val="%1.%2.%3.%4.%5　"/>
      <w:lvlJc w:val="left"/>
      <w:pPr>
        <w:ind w:left="0" w:firstLine="0"/>
      </w:pPr>
      <w:rPr>
        <w:rFonts w:hint="eastAsia" w:ascii="黑体" w:hAnsi="Times New Roman" w:eastAsia="黑体"/>
        <w:b/>
        <w:i w:val="0"/>
        <w:sz w:val="21"/>
      </w:rPr>
    </w:lvl>
    <w:lvl w:ilvl="5" w:tentative="0">
      <w:start w:val="1"/>
      <w:numFmt w:val="decimal"/>
      <w:pStyle w:val="117"/>
      <w:suff w:val="nothing"/>
      <w:lvlText w:val="%1.%2.%3.%4.%5.%6　"/>
      <w:lvlJc w:val="left"/>
      <w:pPr>
        <w:ind w:left="0" w:firstLine="0"/>
      </w:pPr>
      <w:rPr>
        <w:rFonts w:hint="eastAsia" w:ascii="黑体" w:hAnsi="Times New Roman" w:eastAsia="黑体"/>
        <w:b/>
        <w:i w:val="0"/>
        <w:sz w:val="21"/>
      </w:rPr>
    </w:lvl>
    <w:lvl w:ilvl="6" w:tentative="0">
      <w:start w:val="1"/>
      <w:numFmt w:val="decimal"/>
      <w:pStyle w:val="120"/>
      <w:suff w:val="nothing"/>
      <w:lvlText w:val="%1.%2.%3.%4.%5.%6.%7　"/>
      <w:lvlJc w:val="left"/>
      <w:pPr>
        <w:ind w:left="0" w:firstLine="0"/>
      </w:pPr>
      <w:rPr>
        <w:rFonts w:hint="eastAsia" w:ascii="黑体" w:hAnsi="Times New Roman" w:eastAsia="黑体"/>
        <w:b/>
        <w:i w:val="0"/>
        <w:sz w:val="21"/>
      </w:rPr>
    </w:lvl>
    <w:lvl w:ilvl="7" w:tentative="0">
      <w:start w:val="1"/>
      <w:numFmt w:val="none"/>
      <w:lvlRestart w:val="1"/>
      <w:lvlText w:val="表 %1."/>
      <w:lvlJc w:val="left"/>
      <w:pPr>
        <w:tabs>
          <w:tab w:val="left" w:pos="720"/>
        </w:tabs>
        <w:ind w:left="0" w:firstLine="0"/>
      </w:pPr>
      <w:rPr>
        <w:rFonts w:hint="eastAsia" w:ascii="黑体" w:eastAsia="黑体"/>
        <w:b/>
        <w:i w:val="0"/>
        <w:sz w:val="20"/>
      </w:rPr>
    </w:lvl>
    <w:lvl w:ilvl="8" w:tentative="0">
      <w:start w:val="1"/>
      <w:numFmt w:val="none"/>
      <w:lvlRestart w:val="1"/>
      <w:lvlText w:val="图 %1."/>
      <w:lvlJc w:val="left"/>
      <w:pPr>
        <w:tabs>
          <w:tab w:val="left" w:pos="720"/>
        </w:tabs>
        <w:ind w:left="0" w:firstLine="0"/>
      </w:pPr>
      <w:rPr>
        <w:rFonts w:hint="eastAsia" w:ascii="黑体" w:eastAsia="黑体"/>
        <w:b/>
        <w:i w:val="0"/>
        <w:sz w:val="20"/>
      </w:rPr>
    </w:lvl>
  </w:abstractNum>
  <w:abstractNum w:abstractNumId="43">
    <w:nsid w:val="6A3124D0"/>
    <w:multiLevelType w:val="multilevel"/>
    <w:tmpl w:val="6A3124D0"/>
    <w:lvl w:ilvl="0" w:tentative="0">
      <w:start w:val="1"/>
      <w:numFmt w:val="decimal"/>
      <w:pStyle w:val="173"/>
      <w:lvlText w:val="%1."/>
      <w:lvlJc w:val="left"/>
      <w:pPr>
        <w:tabs>
          <w:tab w:val="left" w:pos="420"/>
        </w:tabs>
        <w:ind w:left="420" w:hanging="420"/>
      </w:pPr>
      <w:rPr>
        <w:rFonts w:hint="default"/>
      </w:rPr>
    </w:lvl>
    <w:lvl w:ilvl="1" w:tentative="0">
      <w:start w:val="1"/>
      <w:numFmt w:val="decimal"/>
      <w:pStyle w:val="174"/>
      <w:isLgl/>
      <w:lvlText w:val="%1.%2"/>
      <w:lvlJc w:val="left"/>
      <w:pPr>
        <w:tabs>
          <w:tab w:val="left" w:pos="465"/>
        </w:tabs>
        <w:ind w:left="465" w:hanging="465"/>
      </w:pPr>
      <w:rPr>
        <w:rFonts w:hint="default"/>
        <w:b/>
        <w:sz w:val="21"/>
        <w:szCs w:val="21"/>
      </w:rPr>
    </w:lvl>
    <w:lvl w:ilvl="2" w:tentative="0">
      <w:start w:val="1"/>
      <w:numFmt w:val="decimal"/>
      <w:pStyle w:val="175"/>
      <w:isLgl/>
      <w:lvlText w:val="%1.%2.%3"/>
      <w:lvlJc w:val="left"/>
      <w:pPr>
        <w:tabs>
          <w:tab w:val="left" w:pos="3240"/>
        </w:tabs>
        <w:ind w:left="0" w:firstLine="0"/>
      </w:pPr>
      <w:rPr>
        <w:rFonts w:hint="default"/>
        <w:b w:val="0"/>
        <w:sz w:val="21"/>
        <w:szCs w:val="21"/>
      </w:rPr>
    </w:lvl>
    <w:lvl w:ilvl="3" w:tentative="0">
      <w:start w:val="1"/>
      <w:numFmt w:val="decimal"/>
      <w:isLgl/>
      <w:suff w:val="space"/>
      <w:lvlText w:val="%1.%2.%3.%4"/>
      <w:lvlJc w:val="left"/>
      <w:pPr>
        <w:ind w:left="2520" w:hanging="252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44">
    <w:nsid w:val="6B574344"/>
    <w:multiLevelType w:val="multilevel"/>
    <w:tmpl w:val="6B574344"/>
    <w:lvl w:ilvl="0" w:tentative="0">
      <w:start w:val="1"/>
      <w:numFmt w:val="none"/>
      <w:pStyle w:val="214"/>
      <w:lvlText w:val="%1注："/>
      <w:lvlJc w:val="left"/>
      <w:pPr>
        <w:tabs>
          <w:tab w:val="left" w:pos="794"/>
        </w:tabs>
        <w:ind w:left="794" w:hanging="374"/>
      </w:pPr>
      <w:rPr>
        <w:rFonts w:hint="default" w:ascii="Times New Roman" w:hAnsi="Times New Roman" w:eastAsia="宋体"/>
        <w:b w:val="0"/>
        <w:i w:val="0"/>
        <w:snapToGrid w:val="0"/>
        <w:spacing w:val="0"/>
        <w:w w:val="100"/>
        <w:kern w:val="0"/>
        <w:position w:val="0"/>
        <w:sz w:val="18"/>
      </w:rPr>
    </w:lvl>
    <w:lvl w:ilvl="1" w:tentative="0">
      <w:start w:val="1"/>
      <w:numFmt w:val="low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6CEA2025"/>
    <w:multiLevelType w:val="multilevel"/>
    <w:tmpl w:val="6CEA2025"/>
    <w:lvl w:ilvl="0" w:tentative="0">
      <w:start w:val="1"/>
      <w:numFmt w:val="decimal"/>
      <w:pStyle w:val="160"/>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161"/>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163"/>
      <w:lvlText w:val="2.%1.%2.%3"/>
      <w:lvlJc w:val="left"/>
      <w:pPr>
        <w:tabs>
          <w:tab w:val="left" w:pos="720"/>
        </w:tabs>
        <w:ind w:left="0" w:firstLine="0"/>
      </w:pPr>
      <w:rPr>
        <w:rFonts w:hint="eastAsia" w:ascii="黑体" w:hAnsi="Times New Roman" w:eastAsia="黑体"/>
        <w:b/>
        <w:i w:val="0"/>
        <w:sz w:val="20"/>
      </w:rPr>
    </w:lvl>
    <w:lvl w:ilvl="3" w:tentative="0">
      <w:start w:val="1"/>
      <w:numFmt w:val="decimal"/>
      <w:pStyle w:val="164"/>
      <w:lvlText w:val="2.%1.%2.%3.%4"/>
      <w:lvlJc w:val="left"/>
      <w:pPr>
        <w:tabs>
          <w:tab w:val="left" w:pos="1080"/>
        </w:tabs>
        <w:ind w:left="0" w:firstLine="0"/>
      </w:pPr>
      <w:rPr>
        <w:rFonts w:hint="eastAsia" w:ascii="黑体" w:hAnsi="Times New Roman" w:eastAsia="黑体"/>
        <w:b/>
        <w:i w:val="0"/>
        <w:sz w:val="20"/>
      </w:rPr>
    </w:lvl>
    <w:lvl w:ilvl="4" w:tentative="0">
      <w:start w:val="1"/>
      <w:numFmt w:val="decimal"/>
      <w:pStyle w:val="165"/>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46">
    <w:nsid w:val="6DBF04F4"/>
    <w:multiLevelType w:val="multilevel"/>
    <w:tmpl w:val="6DBF04F4"/>
    <w:lvl w:ilvl="0" w:tentative="0">
      <w:start w:val="1"/>
      <w:numFmt w:val="none"/>
      <w:pStyle w:val="14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7">
    <w:nsid w:val="73F71C3D"/>
    <w:multiLevelType w:val="multilevel"/>
    <w:tmpl w:val="73F71C3D"/>
    <w:lvl w:ilvl="0" w:tentative="0">
      <w:start w:val="1"/>
      <w:numFmt w:val="decimal"/>
      <w:pStyle w:val="184"/>
      <w:lvlText w:val="%1"/>
      <w:lvlJc w:val="center"/>
      <w:pPr>
        <w:tabs>
          <w:tab w:val="left" w:pos="132"/>
        </w:tabs>
        <w:ind w:left="132" w:hanging="132"/>
      </w:pPr>
    </w:lvl>
    <w:lvl w:ilvl="1" w:tentative="0">
      <w:start w:val="1"/>
      <w:numFmt w:val="lowerLetter"/>
      <w:pStyle w:val="188"/>
      <w:lvlText w:val="%2)"/>
      <w:lvlJc w:val="left"/>
      <w:pPr>
        <w:tabs>
          <w:tab w:val="left" w:pos="840"/>
        </w:tabs>
        <w:ind w:left="840" w:hanging="420"/>
      </w:pPr>
    </w:lvl>
    <w:lvl w:ilvl="2" w:tentative="0">
      <w:start w:val="1"/>
      <w:numFmt w:val="lowerRoman"/>
      <w:pStyle w:val="189"/>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8">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149"/>
      <w:suff w:val="nothing"/>
      <w:lvlText w:val="%1%2 "/>
      <w:lvlJc w:val="left"/>
      <w:pPr>
        <w:ind w:left="0" w:firstLine="0"/>
      </w:pPr>
      <w:rPr>
        <w:rFonts w:hint="eastAsia" w:ascii="黑体" w:hAnsi="Times New Roman" w:eastAsia="黑体"/>
        <w:b/>
        <w:i w:val="0"/>
        <w:sz w:val="28"/>
      </w:rPr>
    </w:lvl>
    <w:lvl w:ilvl="2" w:tentative="0">
      <w:start w:val="1"/>
      <w:numFmt w:val="decimal"/>
      <w:pStyle w:val="150"/>
      <w:suff w:val="nothing"/>
      <w:lvlText w:val="%1%2.%3　"/>
      <w:lvlJc w:val="left"/>
      <w:pPr>
        <w:ind w:left="0" w:firstLine="0"/>
      </w:pPr>
      <w:rPr>
        <w:rFonts w:hint="eastAsia" w:ascii="黑体" w:hAnsi="Times New Roman" w:eastAsia="黑体"/>
        <w:b/>
        <w:i w:val="0"/>
        <w:sz w:val="21"/>
      </w:rPr>
    </w:lvl>
    <w:lvl w:ilvl="3" w:tentative="0">
      <w:start w:val="1"/>
      <w:numFmt w:val="decimal"/>
      <w:pStyle w:val="151"/>
      <w:suff w:val="nothing"/>
      <w:lvlText w:val="%1%2.%3.%4　"/>
      <w:lvlJc w:val="left"/>
      <w:pPr>
        <w:ind w:left="0" w:firstLine="0"/>
      </w:pPr>
      <w:rPr>
        <w:rFonts w:hint="eastAsia" w:ascii="黑体" w:hAnsi="Times New Roman" w:eastAsia="黑体"/>
        <w:b/>
        <w:i w:val="0"/>
        <w:sz w:val="21"/>
      </w:rPr>
    </w:lvl>
    <w:lvl w:ilvl="4" w:tentative="0">
      <w:start w:val="1"/>
      <w:numFmt w:val="decimal"/>
      <w:pStyle w:val="152"/>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153"/>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154"/>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156"/>
      <w:lvlText w:val="    %1%8"/>
      <w:lvlJc w:val="left"/>
      <w:pPr>
        <w:tabs>
          <w:tab w:val="left" w:pos="720"/>
        </w:tabs>
        <w:ind w:left="0" w:firstLine="0"/>
      </w:pPr>
      <w:rPr>
        <w:rFonts w:hint="eastAsia" w:ascii="黑体" w:eastAsia="黑体"/>
        <w:b/>
        <w:i w:val="0"/>
        <w:sz w:val="21"/>
      </w:rPr>
    </w:lvl>
    <w:lvl w:ilvl="8" w:tentative="0">
      <w:start w:val="1"/>
      <w:numFmt w:val="decimal"/>
      <w:lvlRestart w:val="2"/>
      <w:pStyle w:val="155"/>
      <w:lvlText w:val="%2.0.%9"/>
      <w:lvlJc w:val="left"/>
      <w:pPr>
        <w:tabs>
          <w:tab w:val="left" w:pos="720"/>
        </w:tabs>
        <w:ind w:left="0" w:firstLine="0"/>
      </w:pPr>
      <w:rPr>
        <w:rFonts w:hint="eastAsia" w:ascii="黑体" w:hAnsi="华文细黑" w:eastAsia="黑体"/>
        <w:b/>
        <w:i w:val="0"/>
        <w:sz w:val="21"/>
      </w:rPr>
    </w:lvl>
  </w:abstractNum>
  <w:abstractNum w:abstractNumId="49">
    <w:nsid w:val="76933334"/>
    <w:multiLevelType w:val="multilevel"/>
    <w:tmpl w:val="76933334"/>
    <w:lvl w:ilvl="0" w:tentative="0">
      <w:start w:val="1"/>
      <w:numFmt w:val="none"/>
      <w:pStyle w:val="124"/>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0">
    <w:nsid w:val="7D242809"/>
    <w:multiLevelType w:val="multilevel"/>
    <w:tmpl w:val="7D24280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1">
    <w:nsid w:val="7F3914D3"/>
    <w:multiLevelType w:val="multilevel"/>
    <w:tmpl w:val="7F3914D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9"/>
  </w:num>
  <w:num w:numId="2">
    <w:abstractNumId w:val="22"/>
  </w:num>
  <w:num w:numId="3">
    <w:abstractNumId w:val="41"/>
  </w:num>
  <w:num w:numId="4">
    <w:abstractNumId w:val="5"/>
  </w:num>
  <w:num w:numId="5">
    <w:abstractNumId w:val="42"/>
  </w:num>
  <w:num w:numId="6">
    <w:abstractNumId w:val="13"/>
  </w:num>
  <w:num w:numId="7">
    <w:abstractNumId w:val="8"/>
  </w:num>
  <w:num w:numId="8">
    <w:abstractNumId w:val="4"/>
  </w:num>
  <w:num w:numId="9">
    <w:abstractNumId w:val="38"/>
  </w:num>
  <w:num w:numId="10">
    <w:abstractNumId w:val="49"/>
  </w:num>
  <w:num w:numId="11">
    <w:abstractNumId w:val="32"/>
  </w:num>
  <w:num w:numId="12">
    <w:abstractNumId w:val="7"/>
  </w:num>
  <w:num w:numId="13">
    <w:abstractNumId w:val="35"/>
  </w:num>
  <w:num w:numId="14">
    <w:abstractNumId w:val="14"/>
  </w:num>
  <w:num w:numId="15">
    <w:abstractNumId w:val="46"/>
  </w:num>
  <w:num w:numId="16">
    <w:abstractNumId w:val="36"/>
  </w:num>
  <w:num w:numId="17">
    <w:abstractNumId w:val="33"/>
  </w:num>
  <w:num w:numId="18">
    <w:abstractNumId w:val="27"/>
  </w:num>
  <w:num w:numId="19">
    <w:abstractNumId w:val="48"/>
  </w:num>
  <w:num w:numId="20">
    <w:abstractNumId w:val="21"/>
  </w:num>
  <w:num w:numId="21">
    <w:abstractNumId w:val="45"/>
  </w:num>
  <w:num w:numId="22">
    <w:abstractNumId w:val="9"/>
  </w:num>
  <w:num w:numId="23">
    <w:abstractNumId w:val="0"/>
  </w:num>
  <w:num w:numId="24">
    <w:abstractNumId w:val="43"/>
  </w:num>
  <w:num w:numId="25">
    <w:abstractNumId w:val="47"/>
  </w:num>
  <w:num w:numId="26">
    <w:abstractNumId w:val="4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num>
  <w:num w:numId="29">
    <w:abstractNumId w:val="2"/>
  </w:num>
  <w:num w:numId="30">
    <w:abstractNumId w:val="1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30"/>
  </w:num>
  <w:num w:numId="34">
    <w:abstractNumId w:val="20"/>
  </w:num>
  <w:num w:numId="35">
    <w:abstractNumId w:val="39"/>
  </w:num>
  <w:num w:numId="36">
    <w:abstractNumId w:val="16"/>
  </w:num>
  <w:num w:numId="37">
    <w:abstractNumId w:val="31"/>
  </w:num>
  <w:num w:numId="38">
    <w:abstractNumId w:val="10"/>
  </w:num>
  <w:num w:numId="39">
    <w:abstractNumId w:val="50"/>
  </w:num>
  <w:num w:numId="40">
    <w:abstractNumId w:val="28"/>
  </w:num>
  <w:num w:numId="41">
    <w:abstractNumId w:val="34"/>
  </w:num>
  <w:num w:numId="42">
    <w:abstractNumId w:val="24"/>
  </w:num>
  <w:num w:numId="43">
    <w:abstractNumId w:val="29"/>
  </w:num>
  <w:num w:numId="44">
    <w:abstractNumId w:val="11"/>
  </w:num>
  <w:num w:numId="45">
    <w:abstractNumId w:val="23"/>
  </w:num>
  <w:num w:numId="46">
    <w:abstractNumId w:val="37"/>
  </w:num>
  <w:num w:numId="47">
    <w:abstractNumId w:val="25"/>
  </w:num>
  <w:num w:numId="48">
    <w:abstractNumId w:val="18"/>
  </w:num>
  <w:num w:numId="49">
    <w:abstractNumId w:val="26"/>
  </w:num>
  <w:num w:numId="50">
    <w:abstractNumId w:val="12"/>
  </w:num>
  <w:num w:numId="51">
    <w:abstractNumId w:val="17"/>
  </w:num>
  <w:num w:numId="52">
    <w:abstractNumId w:val="51"/>
  </w:num>
  <w:num w:numId="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llNDFlMzc5MTdmODE5NGE3ODE2OTZlMGJiOTk1ZmEifQ=="/>
  </w:docVars>
  <w:rsids>
    <w:rsidRoot w:val="00172A27"/>
    <w:rsid w:val="00000525"/>
    <w:rsid w:val="00000622"/>
    <w:rsid w:val="00000B46"/>
    <w:rsid w:val="00000E1B"/>
    <w:rsid w:val="000014B6"/>
    <w:rsid w:val="00001DE6"/>
    <w:rsid w:val="00002CB4"/>
    <w:rsid w:val="00003535"/>
    <w:rsid w:val="00004788"/>
    <w:rsid w:val="0000598E"/>
    <w:rsid w:val="00005CD3"/>
    <w:rsid w:val="00006276"/>
    <w:rsid w:val="0001116C"/>
    <w:rsid w:val="000114C1"/>
    <w:rsid w:val="000126E7"/>
    <w:rsid w:val="000129B8"/>
    <w:rsid w:val="00012BA7"/>
    <w:rsid w:val="00012C92"/>
    <w:rsid w:val="00013944"/>
    <w:rsid w:val="000139EA"/>
    <w:rsid w:val="00014A56"/>
    <w:rsid w:val="00014B04"/>
    <w:rsid w:val="000151BD"/>
    <w:rsid w:val="0001533D"/>
    <w:rsid w:val="00016BCF"/>
    <w:rsid w:val="00016F61"/>
    <w:rsid w:val="00017EC5"/>
    <w:rsid w:val="00017EE0"/>
    <w:rsid w:val="000209C8"/>
    <w:rsid w:val="00020EC9"/>
    <w:rsid w:val="00021199"/>
    <w:rsid w:val="0002146D"/>
    <w:rsid w:val="00023507"/>
    <w:rsid w:val="000241CE"/>
    <w:rsid w:val="00024952"/>
    <w:rsid w:val="00024D95"/>
    <w:rsid w:val="00026784"/>
    <w:rsid w:val="00026785"/>
    <w:rsid w:val="00026D8F"/>
    <w:rsid w:val="00027446"/>
    <w:rsid w:val="00027561"/>
    <w:rsid w:val="00027FCA"/>
    <w:rsid w:val="00030B81"/>
    <w:rsid w:val="00030CA9"/>
    <w:rsid w:val="00032EA2"/>
    <w:rsid w:val="00035BBA"/>
    <w:rsid w:val="000360A0"/>
    <w:rsid w:val="000378C9"/>
    <w:rsid w:val="00040994"/>
    <w:rsid w:val="00041206"/>
    <w:rsid w:val="000442E5"/>
    <w:rsid w:val="000444DC"/>
    <w:rsid w:val="00044C0D"/>
    <w:rsid w:val="000470CE"/>
    <w:rsid w:val="000478A4"/>
    <w:rsid w:val="0005108B"/>
    <w:rsid w:val="000523D7"/>
    <w:rsid w:val="00052D68"/>
    <w:rsid w:val="00053D37"/>
    <w:rsid w:val="00054005"/>
    <w:rsid w:val="00054A9C"/>
    <w:rsid w:val="00055AF0"/>
    <w:rsid w:val="00056CE8"/>
    <w:rsid w:val="0005742F"/>
    <w:rsid w:val="00060349"/>
    <w:rsid w:val="000606FD"/>
    <w:rsid w:val="00060947"/>
    <w:rsid w:val="00060E54"/>
    <w:rsid w:val="00061871"/>
    <w:rsid w:val="0006373B"/>
    <w:rsid w:val="00070643"/>
    <w:rsid w:val="0007141A"/>
    <w:rsid w:val="00071793"/>
    <w:rsid w:val="000724D6"/>
    <w:rsid w:val="00075ECE"/>
    <w:rsid w:val="000764CA"/>
    <w:rsid w:val="000809B2"/>
    <w:rsid w:val="00080BA7"/>
    <w:rsid w:val="000811A6"/>
    <w:rsid w:val="00081AAB"/>
    <w:rsid w:val="00081B26"/>
    <w:rsid w:val="000827D5"/>
    <w:rsid w:val="00083226"/>
    <w:rsid w:val="000835A8"/>
    <w:rsid w:val="00085329"/>
    <w:rsid w:val="00085468"/>
    <w:rsid w:val="0008576B"/>
    <w:rsid w:val="000858CE"/>
    <w:rsid w:val="00085BA3"/>
    <w:rsid w:val="00085E40"/>
    <w:rsid w:val="00086621"/>
    <w:rsid w:val="00086C5B"/>
    <w:rsid w:val="00090834"/>
    <w:rsid w:val="0009191C"/>
    <w:rsid w:val="00093428"/>
    <w:rsid w:val="00093D68"/>
    <w:rsid w:val="00093E40"/>
    <w:rsid w:val="000944DA"/>
    <w:rsid w:val="0009463D"/>
    <w:rsid w:val="00095C87"/>
    <w:rsid w:val="000962D1"/>
    <w:rsid w:val="000975F8"/>
    <w:rsid w:val="00097922"/>
    <w:rsid w:val="00097BE4"/>
    <w:rsid w:val="000A0339"/>
    <w:rsid w:val="000A0C6A"/>
    <w:rsid w:val="000A28AE"/>
    <w:rsid w:val="000A3A2E"/>
    <w:rsid w:val="000A4711"/>
    <w:rsid w:val="000A6F3B"/>
    <w:rsid w:val="000A7401"/>
    <w:rsid w:val="000B0303"/>
    <w:rsid w:val="000B227A"/>
    <w:rsid w:val="000B3CF0"/>
    <w:rsid w:val="000B4BA0"/>
    <w:rsid w:val="000B6CEF"/>
    <w:rsid w:val="000B7ED0"/>
    <w:rsid w:val="000C0CB2"/>
    <w:rsid w:val="000C1486"/>
    <w:rsid w:val="000C1AEF"/>
    <w:rsid w:val="000C2C59"/>
    <w:rsid w:val="000C45B4"/>
    <w:rsid w:val="000C712E"/>
    <w:rsid w:val="000C71F5"/>
    <w:rsid w:val="000D0C3C"/>
    <w:rsid w:val="000D1794"/>
    <w:rsid w:val="000D28A2"/>
    <w:rsid w:val="000D376F"/>
    <w:rsid w:val="000D3A0B"/>
    <w:rsid w:val="000D3A3E"/>
    <w:rsid w:val="000D4C13"/>
    <w:rsid w:val="000D6B47"/>
    <w:rsid w:val="000D72B2"/>
    <w:rsid w:val="000E1381"/>
    <w:rsid w:val="000E1A0B"/>
    <w:rsid w:val="000E2756"/>
    <w:rsid w:val="000E338E"/>
    <w:rsid w:val="000E38E1"/>
    <w:rsid w:val="000E40CB"/>
    <w:rsid w:val="000E455C"/>
    <w:rsid w:val="000E4E68"/>
    <w:rsid w:val="000E5751"/>
    <w:rsid w:val="000E63E2"/>
    <w:rsid w:val="000E6924"/>
    <w:rsid w:val="000E762F"/>
    <w:rsid w:val="000F0923"/>
    <w:rsid w:val="000F1424"/>
    <w:rsid w:val="000F219D"/>
    <w:rsid w:val="000F24F7"/>
    <w:rsid w:val="000F329B"/>
    <w:rsid w:val="000F4298"/>
    <w:rsid w:val="000F6937"/>
    <w:rsid w:val="000F6A54"/>
    <w:rsid w:val="000F6DD7"/>
    <w:rsid w:val="000F772A"/>
    <w:rsid w:val="00101884"/>
    <w:rsid w:val="00101C87"/>
    <w:rsid w:val="00104C2E"/>
    <w:rsid w:val="0010588C"/>
    <w:rsid w:val="0010614B"/>
    <w:rsid w:val="001112C6"/>
    <w:rsid w:val="001119CD"/>
    <w:rsid w:val="00111F5A"/>
    <w:rsid w:val="00112CBF"/>
    <w:rsid w:val="00112D80"/>
    <w:rsid w:val="00112E1A"/>
    <w:rsid w:val="001138E6"/>
    <w:rsid w:val="001159B6"/>
    <w:rsid w:val="001159D3"/>
    <w:rsid w:val="001168B7"/>
    <w:rsid w:val="00116B65"/>
    <w:rsid w:val="0011790F"/>
    <w:rsid w:val="00122DCD"/>
    <w:rsid w:val="00127F20"/>
    <w:rsid w:val="001300B7"/>
    <w:rsid w:val="00130571"/>
    <w:rsid w:val="00130C2F"/>
    <w:rsid w:val="001345F8"/>
    <w:rsid w:val="0014456D"/>
    <w:rsid w:val="001453E2"/>
    <w:rsid w:val="00146ADD"/>
    <w:rsid w:val="00147881"/>
    <w:rsid w:val="00147F07"/>
    <w:rsid w:val="001510B8"/>
    <w:rsid w:val="0015157D"/>
    <w:rsid w:val="00152160"/>
    <w:rsid w:val="00152444"/>
    <w:rsid w:val="00152C2B"/>
    <w:rsid w:val="001535FC"/>
    <w:rsid w:val="001546D2"/>
    <w:rsid w:val="001551CA"/>
    <w:rsid w:val="00155854"/>
    <w:rsid w:val="00155A92"/>
    <w:rsid w:val="001578FF"/>
    <w:rsid w:val="00160019"/>
    <w:rsid w:val="00160087"/>
    <w:rsid w:val="001609B2"/>
    <w:rsid w:val="00160FF2"/>
    <w:rsid w:val="0016164A"/>
    <w:rsid w:val="0016378A"/>
    <w:rsid w:val="00164155"/>
    <w:rsid w:val="00165BDF"/>
    <w:rsid w:val="001674C1"/>
    <w:rsid w:val="00167553"/>
    <w:rsid w:val="00167DF6"/>
    <w:rsid w:val="00167FDC"/>
    <w:rsid w:val="00172A27"/>
    <w:rsid w:val="001754A1"/>
    <w:rsid w:val="001756A1"/>
    <w:rsid w:val="00175738"/>
    <w:rsid w:val="0017623C"/>
    <w:rsid w:val="00176D31"/>
    <w:rsid w:val="00177B0A"/>
    <w:rsid w:val="00182641"/>
    <w:rsid w:val="00182AF0"/>
    <w:rsid w:val="0018462B"/>
    <w:rsid w:val="00187356"/>
    <w:rsid w:val="001910E7"/>
    <w:rsid w:val="00191634"/>
    <w:rsid w:val="00191ED8"/>
    <w:rsid w:val="0019224F"/>
    <w:rsid w:val="00192A4B"/>
    <w:rsid w:val="00192BE8"/>
    <w:rsid w:val="00192F1C"/>
    <w:rsid w:val="00194504"/>
    <w:rsid w:val="00194B50"/>
    <w:rsid w:val="00194D9C"/>
    <w:rsid w:val="001959C4"/>
    <w:rsid w:val="00195A7B"/>
    <w:rsid w:val="00195BB0"/>
    <w:rsid w:val="00195BEC"/>
    <w:rsid w:val="0019622B"/>
    <w:rsid w:val="001A01E8"/>
    <w:rsid w:val="001A270A"/>
    <w:rsid w:val="001A2B31"/>
    <w:rsid w:val="001A2C67"/>
    <w:rsid w:val="001A3A7A"/>
    <w:rsid w:val="001A3EFF"/>
    <w:rsid w:val="001A48BC"/>
    <w:rsid w:val="001A5812"/>
    <w:rsid w:val="001A5A6D"/>
    <w:rsid w:val="001A68DD"/>
    <w:rsid w:val="001A6DF6"/>
    <w:rsid w:val="001B0AE3"/>
    <w:rsid w:val="001B0ED7"/>
    <w:rsid w:val="001B3595"/>
    <w:rsid w:val="001B407C"/>
    <w:rsid w:val="001B44C2"/>
    <w:rsid w:val="001C1447"/>
    <w:rsid w:val="001C1EA6"/>
    <w:rsid w:val="001C20BA"/>
    <w:rsid w:val="001C3F2D"/>
    <w:rsid w:val="001C4130"/>
    <w:rsid w:val="001C417A"/>
    <w:rsid w:val="001C44D9"/>
    <w:rsid w:val="001C4EB8"/>
    <w:rsid w:val="001C634E"/>
    <w:rsid w:val="001C7290"/>
    <w:rsid w:val="001C7448"/>
    <w:rsid w:val="001D0F59"/>
    <w:rsid w:val="001D231B"/>
    <w:rsid w:val="001D2A2F"/>
    <w:rsid w:val="001D2C6F"/>
    <w:rsid w:val="001D5034"/>
    <w:rsid w:val="001D5422"/>
    <w:rsid w:val="001D56CC"/>
    <w:rsid w:val="001D7745"/>
    <w:rsid w:val="001D7EE5"/>
    <w:rsid w:val="001E18C7"/>
    <w:rsid w:val="001E1E1F"/>
    <w:rsid w:val="001E38CD"/>
    <w:rsid w:val="001E3A00"/>
    <w:rsid w:val="001E44AA"/>
    <w:rsid w:val="001E5A52"/>
    <w:rsid w:val="001E5CE4"/>
    <w:rsid w:val="001E66A7"/>
    <w:rsid w:val="001F02A4"/>
    <w:rsid w:val="001F0B68"/>
    <w:rsid w:val="001F117D"/>
    <w:rsid w:val="001F25B5"/>
    <w:rsid w:val="001F2C19"/>
    <w:rsid w:val="001F357A"/>
    <w:rsid w:val="001F392E"/>
    <w:rsid w:val="001F4159"/>
    <w:rsid w:val="001F636A"/>
    <w:rsid w:val="002016B2"/>
    <w:rsid w:val="0020192F"/>
    <w:rsid w:val="00201A01"/>
    <w:rsid w:val="00202893"/>
    <w:rsid w:val="0020294A"/>
    <w:rsid w:val="00202BD9"/>
    <w:rsid w:val="00203278"/>
    <w:rsid w:val="002049E4"/>
    <w:rsid w:val="00204BA2"/>
    <w:rsid w:val="00204FFD"/>
    <w:rsid w:val="00206274"/>
    <w:rsid w:val="00207CE5"/>
    <w:rsid w:val="002113F6"/>
    <w:rsid w:val="00212CF3"/>
    <w:rsid w:val="00213CDE"/>
    <w:rsid w:val="0021413A"/>
    <w:rsid w:val="0021437A"/>
    <w:rsid w:val="002146CA"/>
    <w:rsid w:val="002151F1"/>
    <w:rsid w:val="00223079"/>
    <w:rsid w:val="00224039"/>
    <w:rsid w:val="00224857"/>
    <w:rsid w:val="00226D2D"/>
    <w:rsid w:val="002270EA"/>
    <w:rsid w:val="00227EB2"/>
    <w:rsid w:val="002304CF"/>
    <w:rsid w:val="002312E4"/>
    <w:rsid w:val="00232317"/>
    <w:rsid w:val="00232FBB"/>
    <w:rsid w:val="00234725"/>
    <w:rsid w:val="00235462"/>
    <w:rsid w:val="00236F11"/>
    <w:rsid w:val="002407D4"/>
    <w:rsid w:val="00241B3B"/>
    <w:rsid w:val="002421BC"/>
    <w:rsid w:val="00242B9B"/>
    <w:rsid w:val="00243EA8"/>
    <w:rsid w:val="00244A5C"/>
    <w:rsid w:val="00244D5F"/>
    <w:rsid w:val="002453BB"/>
    <w:rsid w:val="002464A6"/>
    <w:rsid w:val="00246A85"/>
    <w:rsid w:val="00247A8D"/>
    <w:rsid w:val="00250567"/>
    <w:rsid w:val="00250EF3"/>
    <w:rsid w:val="00251427"/>
    <w:rsid w:val="0025217F"/>
    <w:rsid w:val="00252C81"/>
    <w:rsid w:val="002562BE"/>
    <w:rsid w:val="0025665D"/>
    <w:rsid w:val="00256D12"/>
    <w:rsid w:val="002573BD"/>
    <w:rsid w:val="00257B5E"/>
    <w:rsid w:val="00261936"/>
    <w:rsid w:val="00261B52"/>
    <w:rsid w:val="00261F46"/>
    <w:rsid w:val="00261FE1"/>
    <w:rsid w:val="00262414"/>
    <w:rsid w:val="00263826"/>
    <w:rsid w:val="0026386E"/>
    <w:rsid w:val="002651A7"/>
    <w:rsid w:val="002714B3"/>
    <w:rsid w:val="00271F16"/>
    <w:rsid w:val="00274FD9"/>
    <w:rsid w:val="00274FEF"/>
    <w:rsid w:val="00275CBA"/>
    <w:rsid w:val="00275FCE"/>
    <w:rsid w:val="00276315"/>
    <w:rsid w:val="002767F3"/>
    <w:rsid w:val="00280C6E"/>
    <w:rsid w:val="00280D43"/>
    <w:rsid w:val="002815DA"/>
    <w:rsid w:val="0028182D"/>
    <w:rsid w:val="00282D27"/>
    <w:rsid w:val="00282D7E"/>
    <w:rsid w:val="002843E8"/>
    <w:rsid w:val="00286036"/>
    <w:rsid w:val="0028643B"/>
    <w:rsid w:val="002868D9"/>
    <w:rsid w:val="00286D33"/>
    <w:rsid w:val="00287373"/>
    <w:rsid w:val="00287DA9"/>
    <w:rsid w:val="00290C88"/>
    <w:rsid w:val="0029163B"/>
    <w:rsid w:val="0029275F"/>
    <w:rsid w:val="00292D4A"/>
    <w:rsid w:val="00293057"/>
    <w:rsid w:val="00293166"/>
    <w:rsid w:val="002934BD"/>
    <w:rsid w:val="00293DDD"/>
    <w:rsid w:val="002944B5"/>
    <w:rsid w:val="002957A3"/>
    <w:rsid w:val="002964FD"/>
    <w:rsid w:val="00297040"/>
    <w:rsid w:val="002976AD"/>
    <w:rsid w:val="002979BB"/>
    <w:rsid w:val="002A066E"/>
    <w:rsid w:val="002A07AB"/>
    <w:rsid w:val="002A2012"/>
    <w:rsid w:val="002A337E"/>
    <w:rsid w:val="002A34CF"/>
    <w:rsid w:val="002A4C8A"/>
    <w:rsid w:val="002A642B"/>
    <w:rsid w:val="002A6EDC"/>
    <w:rsid w:val="002A79A3"/>
    <w:rsid w:val="002B155B"/>
    <w:rsid w:val="002B298E"/>
    <w:rsid w:val="002B3171"/>
    <w:rsid w:val="002B5134"/>
    <w:rsid w:val="002B7F88"/>
    <w:rsid w:val="002C00FC"/>
    <w:rsid w:val="002C0C5A"/>
    <w:rsid w:val="002C165A"/>
    <w:rsid w:val="002C1746"/>
    <w:rsid w:val="002C2451"/>
    <w:rsid w:val="002C2D5B"/>
    <w:rsid w:val="002C2EAE"/>
    <w:rsid w:val="002C3D77"/>
    <w:rsid w:val="002C4AA9"/>
    <w:rsid w:val="002C5597"/>
    <w:rsid w:val="002C5F08"/>
    <w:rsid w:val="002C69DB"/>
    <w:rsid w:val="002C7883"/>
    <w:rsid w:val="002D02C7"/>
    <w:rsid w:val="002D16A6"/>
    <w:rsid w:val="002D1B15"/>
    <w:rsid w:val="002D1DDE"/>
    <w:rsid w:val="002D3C0E"/>
    <w:rsid w:val="002D49A5"/>
    <w:rsid w:val="002D4C9F"/>
    <w:rsid w:val="002D6B44"/>
    <w:rsid w:val="002D721E"/>
    <w:rsid w:val="002D7273"/>
    <w:rsid w:val="002E239B"/>
    <w:rsid w:val="002E3C99"/>
    <w:rsid w:val="002E4825"/>
    <w:rsid w:val="002E5C75"/>
    <w:rsid w:val="002E6871"/>
    <w:rsid w:val="002E7BB3"/>
    <w:rsid w:val="002F0975"/>
    <w:rsid w:val="002F0C7A"/>
    <w:rsid w:val="002F1144"/>
    <w:rsid w:val="002F20F6"/>
    <w:rsid w:val="002F2B99"/>
    <w:rsid w:val="002F33E0"/>
    <w:rsid w:val="002F3602"/>
    <w:rsid w:val="002F48BF"/>
    <w:rsid w:val="002F4D02"/>
    <w:rsid w:val="002F581F"/>
    <w:rsid w:val="002F5C1D"/>
    <w:rsid w:val="002F727E"/>
    <w:rsid w:val="0030077D"/>
    <w:rsid w:val="00300F7F"/>
    <w:rsid w:val="00301389"/>
    <w:rsid w:val="00301DBE"/>
    <w:rsid w:val="00303119"/>
    <w:rsid w:val="00303B01"/>
    <w:rsid w:val="00303F48"/>
    <w:rsid w:val="00304133"/>
    <w:rsid w:val="00304A5D"/>
    <w:rsid w:val="0030779C"/>
    <w:rsid w:val="0031012E"/>
    <w:rsid w:val="0031061D"/>
    <w:rsid w:val="003120AF"/>
    <w:rsid w:val="003121FD"/>
    <w:rsid w:val="00312BE0"/>
    <w:rsid w:val="0031434D"/>
    <w:rsid w:val="00314685"/>
    <w:rsid w:val="00315354"/>
    <w:rsid w:val="00315943"/>
    <w:rsid w:val="00317047"/>
    <w:rsid w:val="00320292"/>
    <w:rsid w:val="00320FD3"/>
    <w:rsid w:val="00322151"/>
    <w:rsid w:val="0032332C"/>
    <w:rsid w:val="00326CB1"/>
    <w:rsid w:val="00331E5C"/>
    <w:rsid w:val="00334042"/>
    <w:rsid w:val="00334C17"/>
    <w:rsid w:val="003358F1"/>
    <w:rsid w:val="003375CB"/>
    <w:rsid w:val="00340482"/>
    <w:rsid w:val="00340E18"/>
    <w:rsid w:val="00341C85"/>
    <w:rsid w:val="003421D7"/>
    <w:rsid w:val="003439C4"/>
    <w:rsid w:val="00343ACE"/>
    <w:rsid w:val="00344188"/>
    <w:rsid w:val="00344687"/>
    <w:rsid w:val="00345C07"/>
    <w:rsid w:val="003474B1"/>
    <w:rsid w:val="003474DC"/>
    <w:rsid w:val="003520A1"/>
    <w:rsid w:val="00353FB0"/>
    <w:rsid w:val="00354699"/>
    <w:rsid w:val="0035538D"/>
    <w:rsid w:val="003554B3"/>
    <w:rsid w:val="00355628"/>
    <w:rsid w:val="0035796E"/>
    <w:rsid w:val="00357E38"/>
    <w:rsid w:val="00360488"/>
    <w:rsid w:val="00360E38"/>
    <w:rsid w:val="00362039"/>
    <w:rsid w:val="003624A2"/>
    <w:rsid w:val="003638C1"/>
    <w:rsid w:val="003638D0"/>
    <w:rsid w:val="00363E84"/>
    <w:rsid w:val="003653BC"/>
    <w:rsid w:val="00365676"/>
    <w:rsid w:val="00365EB2"/>
    <w:rsid w:val="00366690"/>
    <w:rsid w:val="00366FFC"/>
    <w:rsid w:val="00367044"/>
    <w:rsid w:val="00372035"/>
    <w:rsid w:val="003728C5"/>
    <w:rsid w:val="00373131"/>
    <w:rsid w:val="00375CB9"/>
    <w:rsid w:val="00376058"/>
    <w:rsid w:val="00376A85"/>
    <w:rsid w:val="00376B91"/>
    <w:rsid w:val="0037735E"/>
    <w:rsid w:val="003778A5"/>
    <w:rsid w:val="00377F3F"/>
    <w:rsid w:val="003807F5"/>
    <w:rsid w:val="00380FE2"/>
    <w:rsid w:val="00381D51"/>
    <w:rsid w:val="0038580B"/>
    <w:rsid w:val="00385B22"/>
    <w:rsid w:val="0038636F"/>
    <w:rsid w:val="0038665A"/>
    <w:rsid w:val="00386839"/>
    <w:rsid w:val="003875DE"/>
    <w:rsid w:val="003926F0"/>
    <w:rsid w:val="00392B48"/>
    <w:rsid w:val="0039302C"/>
    <w:rsid w:val="00394CEC"/>
    <w:rsid w:val="00395196"/>
    <w:rsid w:val="00395E28"/>
    <w:rsid w:val="003963EB"/>
    <w:rsid w:val="003973E7"/>
    <w:rsid w:val="003A1851"/>
    <w:rsid w:val="003A5AFB"/>
    <w:rsid w:val="003A7593"/>
    <w:rsid w:val="003B0ED8"/>
    <w:rsid w:val="003B1486"/>
    <w:rsid w:val="003B1C5C"/>
    <w:rsid w:val="003B2C7E"/>
    <w:rsid w:val="003B2EC4"/>
    <w:rsid w:val="003B555B"/>
    <w:rsid w:val="003B56BA"/>
    <w:rsid w:val="003B6A22"/>
    <w:rsid w:val="003B71E1"/>
    <w:rsid w:val="003B72F5"/>
    <w:rsid w:val="003B791A"/>
    <w:rsid w:val="003C0530"/>
    <w:rsid w:val="003C214C"/>
    <w:rsid w:val="003C3740"/>
    <w:rsid w:val="003C3DC8"/>
    <w:rsid w:val="003C518B"/>
    <w:rsid w:val="003D10AF"/>
    <w:rsid w:val="003D1E0B"/>
    <w:rsid w:val="003D1FD5"/>
    <w:rsid w:val="003D219B"/>
    <w:rsid w:val="003D2275"/>
    <w:rsid w:val="003D2E4E"/>
    <w:rsid w:val="003D3458"/>
    <w:rsid w:val="003D3D1F"/>
    <w:rsid w:val="003D4D28"/>
    <w:rsid w:val="003D54B8"/>
    <w:rsid w:val="003D66F4"/>
    <w:rsid w:val="003D6DDF"/>
    <w:rsid w:val="003D7326"/>
    <w:rsid w:val="003E0207"/>
    <w:rsid w:val="003E10FF"/>
    <w:rsid w:val="003E2E00"/>
    <w:rsid w:val="003E4DA0"/>
    <w:rsid w:val="003E646E"/>
    <w:rsid w:val="003E6767"/>
    <w:rsid w:val="003F0021"/>
    <w:rsid w:val="003F061A"/>
    <w:rsid w:val="003F17E6"/>
    <w:rsid w:val="003F27FE"/>
    <w:rsid w:val="003F3F33"/>
    <w:rsid w:val="003F5FA3"/>
    <w:rsid w:val="003F7D30"/>
    <w:rsid w:val="0040162B"/>
    <w:rsid w:val="00402972"/>
    <w:rsid w:val="0040492B"/>
    <w:rsid w:val="00404F09"/>
    <w:rsid w:val="004055CD"/>
    <w:rsid w:val="004055EA"/>
    <w:rsid w:val="00405EB7"/>
    <w:rsid w:val="0040692B"/>
    <w:rsid w:val="00407AC6"/>
    <w:rsid w:val="004102CA"/>
    <w:rsid w:val="004104E6"/>
    <w:rsid w:val="0041105B"/>
    <w:rsid w:val="00414791"/>
    <w:rsid w:val="0041517B"/>
    <w:rsid w:val="004157EE"/>
    <w:rsid w:val="00415E67"/>
    <w:rsid w:val="00415EE4"/>
    <w:rsid w:val="004166D9"/>
    <w:rsid w:val="004175BB"/>
    <w:rsid w:val="0041796D"/>
    <w:rsid w:val="004204C0"/>
    <w:rsid w:val="0042399C"/>
    <w:rsid w:val="00425244"/>
    <w:rsid w:val="00425B75"/>
    <w:rsid w:val="00425C0D"/>
    <w:rsid w:val="004305C0"/>
    <w:rsid w:val="004306FC"/>
    <w:rsid w:val="004316EC"/>
    <w:rsid w:val="004317D7"/>
    <w:rsid w:val="004327D1"/>
    <w:rsid w:val="004330A4"/>
    <w:rsid w:val="00435162"/>
    <w:rsid w:val="00436158"/>
    <w:rsid w:val="00440506"/>
    <w:rsid w:val="004414FB"/>
    <w:rsid w:val="004422BB"/>
    <w:rsid w:val="00442A99"/>
    <w:rsid w:val="00446134"/>
    <w:rsid w:val="0044668C"/>
    <w:rsid w:val="00446BF7"/>
    <w:rsid w:val="00447783"/>
    <w:rsid w:val="00447DE3"/>
    <w:rsid w:val="004505D3"/>
    <w:rsid w:val="00450A77"/>
    <w:rsid w:val="00451037"/>
    <w:rsid w:val="00451EBD"/>
    <w:rsid w:val="00452B54"/>
    <w:rsid w:val="00453043"/>
    <w:rsid w:val="004545A0"/>
    <w:rsid w:val="0045492D"/>
    <w:rsid w:val="00456D73"/>
    <w:rsid w:val="00457478"/>
    <w:rsid w:val="00461A3E"/>
    <w:rsid w:val="00461D77"/>
    <w:rsid w:val="00462115"/>
    <w:rsid w:val="00464D55"/>
    <w:rsid w:val="00464DC0"/>
    <w:rsid w:val="00465714"/>
    <w:rsid w:val="00465747"/>
    <w:rsid w:val="00465FF7"/>
    <w:rsid w:val="00466796"/>
    <w:rsid w:val="00466A31"/>
    <w:rsid w:val="004676BB"/>
    <w:rsid w:val="00472303"/>
    <w:rsid w:val="004737B5"/>
    <w:rsid w:val="0047539A"/>
    <w:rsid w:val="004757C7"/>
    <w:rsid w:val="0047645B"/>
    <w:rsid w:val="0047663C"/>
    <w:rsid w:val="00476960"/>
    <w:rsid w:val="00477510"/>
    <w:rsid w:val="0048045E"/>
    <w:rsid w:val="00480BE7"/>
    <w:rsid w:val="00481B2D"/>
    <w:rsid w:val="00482FAB"/>
    <w:rsid w:val="0048650E"/>
    <w:rsid w:val="00486995"/>
    <w:rsid w:val="00486AFC"/>
    <w:rsid w:val="00490EEE"/>
    <w:rsid w:val="0049128A"/>
    <w:rsid w:val="00491763"/>
    <w:rsid w:val="0049196C"/>
    <w:rsid w:val="004921E2"/>
    <w:rsid w:val="00492989"/>
    <w:rsid w:val="004956C1"/>
    <w:rsid w:val="0049654F"/>
    <w:rsid w:val="004A0446"/>
    <w:rsid w:val="004A312C"/>
    <w:rsid w:val="004A38AE"/>
    <w:rsid w:val="004A44FE"/>
    <w:rsid w:val="004B171B"/>
    <w:rsid w:val="004B20F0"/>
    <w:rsid w:val="004B266D"/>
    <w:rsid w:val="004B3543"/>
    <w:rsid w:val="004B3602"/>
    <w:rsid w:val="004B4624"/>
    <w:rsid w:val="004B4759"/>
    <w:rsid w:val="004B5471"/>
    <w:rsid w:val="004B706E"/>
    <w:rsid w:val="004B7743"/>
    <w:rsid w:val="004B7B37"/>
    <w:rsid w:val="004C0138"/>
    <w:rsid w:val="004C0D59"/>
    <w:rsid w:val="004C1742"/>
    <w:rsid w:val="004C28AE"/>
    <w:rsid w:val="004C2B17"/>
    <w:rsid w:val="004C5568"/>
    <w:rsid w:val="004C630D"/>
    <w:rsid w:val="004C7C8A"/>
    <w:rsid w:val="004D0E7D"/>
    <w:rsid w:val="004D12CE"/>
    <w:rsid w:val="004D12E2"/>
    <w:rsid w:val="004D2498"/>
    <w:rsid w:val="004D31F5"/>
    <w:rsid w:val="004D342D"/>
    <w:rsid w:val="004D37B1"/>
    <w:rsid w:val="004D493B"/>
    <w:rsid w:val="004D680E"/>
    <w:rsid w:val="004E009E"/>
    <w:rsid w:val="004E0640"/>
    <w:rsid w:val="004E0CF0"/>
    <w:rsid w:val="004E2C3E"/>
    <w:rsid w:val="004E31B0"/>
    <w:rsid w:val="004E418F"/>
    <w:rsid w:val="004E43A4"/>
    <w:rsid w:val="004E46E2"/>
    <w:rsid w:val="004E4F99"/>
    <w:rsid w:val="004F0AC2"/>
    <w:rsid w:val="004F0F12"/>
    <w:rsid w:val="004F1967"/>
    <w:rsid w:val="004F1A66"/>
    <w:rsid w:val="004F29B4"/>
    <w:rsid w:val="004F2ED2"/>
    <w:rsid w:val="004F645D"/>
    <w:rsid w:val="004F6791"/>
    <w:rsid w:val="004F683E"/>
    <w:rsid w:val="004F7079"/>
    <w:rsid w:val="0050107D"/>
    <w:rsid w:val="00501D60"/>
    <w:rsid w:val="005030E8"/>
    <w:rsid w:val="0050462D"/>
    <w:rsid w:val="00504A8D"/>
    <w:rsid w:val="0050518D"/>
    <w:rsid w:val="0050587D"/>
    <w:rsid w:val="00506461"/>
    <w:rsid w:val="00506D77"/>
    <w:rsid w:val="00507920"/>
    <w:rsid w:val="005104A1"/>
    <w:rsid w:val="00510FDD"/>
    <w:rsid w:val="00512A1E"/>
    <w:rsid w:val="00512BA8"/>
    <w:rsid w:val="005146FF"/>
    <w:rsid w:val="00514884"/>
    <w:rsid w:val="00515237"/>
    <w:rsid w:val="00516726"/>
    <w:rsid w:val="00516A5C"/>
    <w:rsid w:val="00516E5B"/>
    <w:rsid w:val="00520D45"/>
    <w:rsid w:val="0052156C"/>
    <w:rsid w:val="00523141"/>
    <w:rsid w:val="00523DE3"/>
    <w:rsid w:val="00524589"/>
    <w:rsid w:val="0052613E"/>
    <w:rsid w:val="00526586"/>
    <w:rsid w:val="00530073"/>
    <w:rsid w:val="00530E89"/>
    <w:rsid w:val="005322E2"/>
    <w:rsid w:val="00533FA8"/>
    <w:rsid w:val="0053442C"/>
    <w:rsid w:val="00534DA7"/>
    <w:rsid w:val="00535A02"/>
    <w:rsid w:val="00535CA9"/>
    <w:rsid w:val="005402E7"/>
    <w:rsid w:val="00540712"/>
    <w:rsid w:val="00542EFF"/>
    <w:rsid w:val="00543808"/>
    <w:rsid w:val="00544548"/>
    <w:rsid w:val="0054461E"/>
    <w:rsid w:val="005447BE"/>
    <w:rsid w:val="0054536A"/>
    <w:rsid w:val="00547A12"/>
    <w:rsid w:val="005511AE"/>
    <w:rsid w:val="00551D7D"/>
    <w:rsid w:val="00552483"/>
    <w:rsid w:val="00553AFA"/>
    <w:rsid w:val="00554B7A"/>
    <w:rsid w:val="0055500D"/>
    <w:rsid w:val="0055518D"/>
    <w:rsid w:val="0056018F"/>
    <w:rsid w:val="0056110A"/>
    <w:rsid w:val="005635F9"/>
    <w:rsid w:val="005639D6"/>
    <w:rsid w:val="0056405E"/>
    <w:rsid w:val="005643B3"/>
    <w:rsid w:val="0056570B"/>
    <w:rsid w:val="005661EA"/>
    <w:rsid w:val="0056646A"/>
    <w:rsid w:val="0056790E"/>
    <w:rsid w:val="00567D6C"/>
    <w:rsid w:val="005723F7"/>
    <w:rsid w:val="005740AF"/>
    <w:rsid w:val="00575777"/>
    <w:rsid w:val="00576458"/>
    <w:rsid w:val="00576815"/>
    <w:rsid w:val="00580346"/>
    <w:rsid w:val="005821D4"/>
    <w:rsid w:val="005822A3"/>
    <w:rsid w:val="005822A8"/>
    <w:rsid w:val="00583105"/>
    <w:rsid w:val="005832E0"/>
    <w:rsid w:val="00584CF8"/>
    <w:rsid w:val="005867CD"/>
    <w:rsid w:val="00586EDE"/>
    <w:rsid w:val="00587653"/>
    <w:rsid w:val="00590D4E"/>
    <w:rsid w:val="00591A6A"/>
    <w:rsid w:val="005925DD"/>
    <w:rsid w:val="00592D84"/>
    <w:rsid w:val="00592FE4"/>
    <w:rsid w:val="00594063"/>
    <w:rsid w:val="00595B15"/>
    <w:rsid w:val="00595DB0"/>
    <w:rsid w:val="00596201"/>
    <w:rsid w:val="00596940"/>
    <w:rsid w:val="00596E4A"/>
    <w:rsid w:val="005A0662"/>
    <w:rsid w:val="005A0DB8"/>
    <w:rsid w:val="005A27FE"/>
    <w:rsid w:val="005A309F"/>
    <w:rsid w:val="005A482E"/>
    <w:rsid w:val="005A4D14"/>
    <w:rsid w:val="005A534F"/>
    <w:rsid w:val="005A5734"/>
    <w:rsid w:val="005A67FD"/>
    <w:rsid w:val="005A6997"/>
    <w:rsid w:val="005A793D"/>
    <w:rsid w:val="005A7A58"/>
    <w:rsid w:val="005A7BDE"/>
    <w:rsid w:val="005B09B3"/>
    <w:rsid w:val="005B1CBF"/>
    <w:rsid w:val="005B1DD1"/>
    <w:rsid w:val="005B1F7D"/>
    <w:rsid w:val="005B29E8"/>
    <w:rsid w:val="005B2C89"/>
    <w:rsid w:val="005B4064"/>
    <w:rsid w:val="005B471D"/>
    <w:rsid w:val="005B5AA8"/>
    <w:rsid w:val="005B60D3"/>
    <w:rsid w:val="005C02ED"/>
    <w:rsid w:val="005C087D"/>
    <w:rsid w:val="005C32B5"/>
    <w:rsid w:val="005C59A7"/>
    <w:rsid w:val="005C645A"/>
    <w:rsid w:val="005C67E6"/>
    <w:rsid w:val="005C6C7E"/>
    <w:rsid w:val="005D017C"/>
    <w:rsid w:val="005D0B3A"/>
    <w:rsid w:val="005D2389"/>
    <w:rsid w:val="005D428A"/>
    <w:rsid w:val="005D5362"/>
    <w:rsid w:val="005D5F20"/>
    <w:rsid w:val="005D69F9"/>
    <w:rsid w:val="005E0060"/>
    <w:rsid w:val="005E2E19"/>
    <w:rsid w:val="005E3079"/>
    <w:rsid w:val="005E3B20"/>
    <w:rsid w:val="005E5618"/>
    <w:rsid w:val="005E5707"/>
    <w:rsid w:val="005E614B"/>
    <w:rsid w:val="005E76FA"/>
    <w:rsid w:val="005F02DA"/>
    <w:rsid w:val="005F190F"/>
    <w:rsid w:val="005F2DB7"/>
    <w:rsid w:val="005F2E06"/>
    <w:rsid w:val="005F3410"/>
    <w:rsid w:val="005F3AC4"/>
    <w:rsid w:val="005F479E"/>
    <w:rsid w:val="005F72E7"/>
    <w:rsid w:val="005F738E"/>
    <w:rsid w:val="00600489"/>
    <w:rsid w:val="0060271F"/>
    <w:rsid w:val="00603BB3"/>
    <w:rsid w:val="00606F6F"/>
    <w:rsid w:val="006115B5"/>
    <w:rsid w:val="00612DB7"/>
    <w:rsid w:val="00613671"/>
    <w:rsid w:val="006136ED"/>
    <w:rsid w:val="00613995"/>
    <w:rsid w:val="00614410"/>
    <w:rsid w:val="00616426"/>
    <w:rsid w:val="00617A6E"/>
    <w:rsid w:val="00617C18"/>
    <w:rsid w:val="00617E14"/>
    <w:rsid w:val="00617F3B"/>
    <w:rsid w:val="00620AD2"/>
    <w:rsid w:val="006225C2"/>
    <w:rsid w:val="00622D9B"/>
    <w:rsid w:val="00623C1C"/>
    <w:rsid w:val="00624091"/>
    <w:rsid w:val="006252BC"/>
    <w:rsid w:val="00627254"/>
    <w:rsid w:val="0062731F"/>
    <w:rsid w:val="006301E9"/>
    <w:rsid w:val="00630590"/>
    <w:rsid w:val="00630D56"/>
    <w:rsid w:val="00631657"/>
    <w:rsid w:val="0063247C"/>
    <w:rsid w:val="006327C3"/>
    <w:rsid w:val="0063378C"/>
    <w:rsid w:val="00633C7F"/>
    <w:rsid w:val="00634E4D"/>
    <w:rsid w:val="00635F51"/>
    <w:rsid w:val="00635FC1"/>
    <w:rsid w:val="00637232"/>
    <w:rsid w:val="0063737E"/>
    <w:rsid w:val="006377E5"/>
    <w:rsid w:val="00642592"/>
    <w:rsid w:val="00643AD8"/>
    <w:rsid w:val="006447F0"/>
    <w:rsid w:val="00645376"/>
    <w:rsid w:val="00645E33"/>
    <w:rsid w:val="00645FE9"/>
    <w:rsid w:val="0064783B"/>
    <w:rsid w:val="00647A82"/>
    <w:rsid w:val="0065012E"/>
    <w:rsid w:val="006502E8"/>
    <w:rsid w:val="00651753"/>
    <w:rsid w:val="0065306C"/>
    <w:rsid w:val="0065371D"/>
    <w:rsid w:val="006541B3"/>
    <w:rsid w:val="006542D8"/>
    <w:rsid w:val="0065484B"/>
    <w:rsid w:val="00655A52"/>
    <w:rsid w:val="00656817"/>
    <w:rsid w:val="00656904"/>
    <w:rsid w:val="00660D13"/>
    <w:rsid w:val="00662079"/>
    <w:rsid w:val="0066284F"/>
    <w:rsid w:val="0066312D"/>
    <w:rsid w:val="006631B4"/>
    <w:rsid w:val="00663BF5"/>
    <w:rsid w:val="0066448D"/>
    <w:rsid w:val="0066453B"/>
    <w:rsid w:val="0066507A"/>
    <w:rsid w:val="00667A11"/>
    <w:rsid w:val="00667D79"/>
    <w:rsid w:val="0067296D"/>
    <w:rsid w:val="00674533"/>
    <w:rsid w:val="00674D3E"/>
    <w:rsid w:val="00674D74"/>
    <w:rsid w:val="006757F4"/>
    <w:rsid w:val="00676AD0"/>
    <w:rsid w:val="00677601"/>
    <w:rsid w:val="0068007C"/>
    <w:rsid w:val="006809BC"/>
    <w:rsid w:val="00682540"/>
    <w:rsid w:val="006826F4"/>
    <w:rsid w:val="00683ED5"/>
    <w:rsid w:val="006844D5"/>
    <w:rsid w:val="00685553"/>
    <w:rsid w:val="00685975"/>
    <w:rsid w:val="0068753E"/>
    <w:rsid w:val="0069119B"/>
    <w:rsid w:val="0069168D"/>
    <w:rsid w:val="0069195E"/>
    <w:rsid w:val="00691962"/>
    <w:rsid w:val="00691BA7"/>
    <w:rsid w:val="0069338F"/>
    <w:rsid w:val="0069398A"/>
    <w:rsid w:val="006943D8"/>
    <w:rsid w:val="0069523D"/>
    <w:rsid w:val="0069682F"/>
    <w:rsid w:val="00697303"/>
    <w:rsid w:val="006A0543"/>
    <w:rsid w:val="006A1A2C"/>
    <w:rsid w:val="006A2FC2"/>
    <w:rsid w:val="006A3C1F"/>
    <w:rsid w:val="006A5479"/>
    <w:rsid w:val="006A6367"/>
    <w:rsid w:val="006A67A7"/>
    <w:rsid w:val="006A70B4"/>
    <w:rsid w:val="006B10BF"/>
    <w:rsid w:val="006B165C"/>
    <w:rsid w:val="006B36F7"/>
    <w:rsid w:val="006B3ADE"/>
    <w:rsid w:val="006B3C99"/>
    <w:rsid w:val="006B3E4A"/>
    <w:rsid w:val="006B475A"/>
    <w:rsid w:val="006B48B2"/>
    <w:rsid w:val="006B4BE5"/>
    <w:rsid w:val="006B4DCD"/>
    <w:rsid w:val="006B6485"/>
    <w:rsid w:val="006B6589"/>
    <w:rsid w:val="006B6ADF"/>
    <w:rsid w:val="006B7B4B"/>
    <w:rsid w:val="006B7E0B"/>
    <w:rsid w:val="006C011C"/>
    <w:rsid w:val="006C0BB7"/>
    <w:rsid w:val="006C2C72"/>
    <w:rsid w:val="006C2EB5"/>
    <w:rsid w:val="006C2EBD"/>
    <w:rsid w:val="006C3501"/>
    <w:rsid w:val="006C46A8"/>
    <w:rsid w:val="006C4B03"/>
    <w:rsid w:val="006C5C09"/>
    <w:rsid w:val="006C7AF9"/>
    <w:rsid w:val="006C7C46"/>
    <w:rsid w:val="006D248C"/>
    <w:rsid w:val="006D27CF"/>
    <w:rsid w:val="006D2C1D"/>
    <w:rsid w:val="006D34C0"/>
    <w:rsid w:val="006D35C6"/>
    <w:rsid w:val="006D3DB0"/>
    <w:rsid w:val="006D3F55"/>
    <w:rsid w:val="006D3FC1"/>
    <w:rsid w:val="006D500F"/>
    <w:rsid w:val="006D5381"/>
    <w:rsid w:val="006D6AAB"/>
    <w:rsid w:val="006D6F67"/>
    <w:rsid w:val="006E22D8"/>
    <w:rsid w:val="006E28E1"/>
    <w:rsid w:val="006E2DFC"/>
    <w:rsid w:val="006E3B72"/>
    <w:rsid w:val="006E449D"/>
    <w:rsid w:val="006E4DFB"/>
    <w:rsid w:val="006E50B7"/>
    <w:rsid w:val="006E6BB8"/>
    <w:rsid w:val="006E79F8"/>
    <w:rsid w:val="006F05C2"/>
    <w:rsid w:val="006F084B"/>
    <w:rsid w:val="006F0BE6"/>
    <w:rsid w:val="006F4552"/>
    <w:rsid w:val="006F582A"/>
    <w:rsid w:val="006F5C48"/>
    <w:rsid w:val="006F6331"/>
    <w:rsid w:val="006F68D4"/>
    <w:rsid w:val="006F6C96"/>
    <w:rsid w:val="007005E7"/>
    <w:rsid w:val="00700E2B"/>
    <w:rsid w:val="00700F9D"/>
    <w:rsid w:val="00700FFD"/>
    <w:rsid w:val="00701112"/>
    <w:rsid w:val="00704A93"/>
    <w:rsid w:val="0070545A"/>
    <w:rsid w:val="007066A8"/>
    <w:rsid w:val="007066C1"/>
    <w:rsid w:val="00706820"/>
    <w:rsid w:val="00706E77"/>
    <w:rsid w:val="0070758F"/>
    <w:rsid w:val="007118FB"/>
    <w:rsid w:val="00714764"/>
    <w:rsid w:val="00714C9F"/>
    <w:rsid w:val="007161A2"/>
    <w:rsid w:val="007166AB"/>
    <w:rsid w:val="00716763"/>
    <w:rsid w:val="007176AD"/>
    <w:rsid w:val="007207E7"/>
    <w:rsid w:val="00720F6B"/>
    <w:rsid w:val="007216EA"/>
    <w:rsid w:val="00721FF0"/>
    <w:rsid w:val="0072261B"/>
    <w:rsid w:val="007231CF"/>
    <w:rsid w:val="00723A46"/>
    <w:rsid w:val="00724758"/>
    <w:rsid w:val="00724AE3"/>
    <w:rsid w:val="00724AF3"/>
    <w:rsid w:val="00724F30"/>
    <w:rsid w:val="00725F25"/>
    <w:rsid w:val="00725F80"/>
    <w:rsid w:val="0072650D"/>
    <w:rsid w:val="00726EF3"/>
    <w:rsid w:val="0072772E"/>
    <w:rsid w:val="00730F16"/>
    <w:rsid w:val="0073126A"/>
    <w:rsid w:val="00731503"/>
    <w:rsid w:val="00732480"/>
    <w:rsid w:val="00732509"/>
    <w:rsid w:val="0073263E"/>
    <w:rsid w:val="00733035"/>
    <w:rsid w:val="007351DE"/>
    <w:rsid w:val="00735234"/>
    <w:rsid w:val="00735C86"/>
    <w:rsid w:val="007368C5"/>
    <w:rsid w:val="00741545"/>
    <w:rsid w:val="00741570"/>
    <w:rsid w:val="007433CA"/>
    <w:rsid w:val="00743DB1"/>
    <w:rsid w:val="00744A19"/>
    <w:rsid w:val="00744BB8"/>
    <w:rsid w:val="00745B89"/>
    <w:rsid w:val="0074657A"/>
    <w:rsid w:val="00747519"/>
    <w:rsid w:val="00750B8C"/>
    <w:rsid w:val="00750CE3"/>
    <w:rsid w:val="007538E5"/>
    <w:rsid w:val="007542B8"/>
    <w:rsid w:val="00754547"/>
    <w:rsid w:val="007603F2"/>
    <w:rsid w:val="0076248D"/>
    <w:rsid w:val="00763642"/>
    <w:rsid w:val="007639E8"/>
    <w:rsid w:val="0076451A"/>
    <w:rsid w:val="00765073"/>
    <w:rsid w:val="007650DF"/>
    <w:rsid w:val="00765953"/>
    <w:rsid w:val="00765A9A"/>
    <w:rsid w:val="007673D8"/>
    <w:rsid w:val="007674FA"/>
    <w:rsid w:val="00770513"/>
    <w:rsid w:val="00770CB0"/>
    <w:rsid w:val="00771255"/>
    <w:rsid w:val="007726B5"/>
    <w:rsid w:val="007729D7"/>
    <w:rsid w:val="00772E88"/>
    <w:rsid w:val="00773624"/>
    <w:rsid w:val="00773BC7"/>
    <w:rsid w:val="007747AD"/>
    <w:rsid w:val="007754E3"/>
    <w:rsid w:val="00776F86"/>
    <w:rsid w:val="007770CF"/>
    <w:rsid w:val="00780716"/>
    <w:rsid w:val="007809A6"/>
    <w:rsid w:val="00780E87"/>
    <w:rsid w:val="00781A09"/>
    <w:rsid w:val="007820D8"/>
    <w:rsid w:val="00783499"/>
    <w:rsid w:val="00784328"/>
    <w:rsid w:val="00784669"/>
    <w:rsid w:val="00787329"/>
    <w:rsid w:val="00787C19"/>
    <w:rsid w:val="00790350"/>
    <w:rsid w:val="00790571"/>
    <w:rsid w:val="00792058"/>
    <w:rsid w:val="0079262D"/>
    <w:rsid w:val="00793F84"/>
    <w:rsid w:val="00794855"/>
    <w:rsid w:val="00795884"/>
    <w:rsid w:val="007A1320"/>
    <w:rsid w:val="007A15B3"/>
    <w:rsid w:val="007A15BF"/>
    <w:rsid w:val="007A2185"/>
    <w:rsid w:val="007A27A4"/>
    <w:rsid w:val="007A27AC"/>
    <w:rsid w:val="007A3BCE"/>
    <w:rsid w:val="007A5115"/>
    <w:rsid w:val="007A53D9"/>
    <w:rsid w:val="007A6B48"/>
    <w:rsid w:val="007A7FB8"/>
    <w:rsid w:val="007B04BC"/>
    <w:rsid w:val="007B1EDA"/>
    <w:rsid w:val="007B39D8"/>
    <w:rsid w:val="007B428D"/>
    <w:rsid w:val="007B45D3"/>
    <w:rsid w:val="007B707A"/>
    <w:rsid w:val="007C050E"/>
    <w:rsid w:val="007C13C1"/>
    <w:rsid w:val="007C1F40"/>
    <w:rsid w:val="007C31BB"/>
    <w:rsid w:val="007C4C67"/>
    <w:rsid w:val="007C5A2D"/>
    <w:rsid w:val="007C64DC"/>
    <w:rsid w:val="007C7A28"/>
    <w:rsid w:val="007C7C44"/>
    <w:rsid w:val="007C7EFA"/>
    <w:rsid w:val="007D1E75"/>
    <w:rsid w:val="007D3411"/>
    <w:rsid w:val="007D47AD"/>
    <w:rsid w:val="007D6A1B"/>
    <w:rsid w:val="007D7268"/>
    <w:rsid w:val="007D733B"/>
    <w:rsid w:val="007D7841"/>
    <w:rsid w:val="007D7C27"/>
    <w:rsid w:val="007E2B8A"/>
    <w:rsid w:val="007E307E"/>
    <w:rsid w:val="007E34B2"/>
    <w:rsid w:val="007E3D41"/>
    <w:rsid w:val="007E497E"/>
    <w:rsid w:val="007E6146"/>
    <w:rsid w:val="007E65A0"/>
    <w:rsid w:val="007E79C7"/>
    <w:rsid w:val="007E7B28"/>
    <w:rsid w:val="007F02C4"/>
    <w:rsid w:val="007F043C"/>
    <w:rsid w:val="007F33D5"/>
    <w:rsid w:val="007F348B"/>
    <w:rsid w:val="007F34FB"/>
    <w:rsid w:val="007F45DA"/>
    <w:rsid w:val="007F46F1"/>
    <w:rsid w:val="007F480F"/>
    <w:rsid w:val="007F55CE"/>
    <w:rsid w:val="007F5D90"/>
    <w:rsid w:val="007F6DE5"/>
    <w:rsid w:val="007F7D08"/>
    <w:rsid w:val="008016AB"/>
    <w:rsid w:val="008037AE"/>
    <w:rsid w:val="008039C9"/>
    <w:rsid w:val="00803B67"/>
    <w:rsid w:val="00803C1D"/>
    <w:rsid w:val="00803E4B"/>
    <w:rsid w:val="00804B95"/>
    <w:rsid w:val="0080528C"/>
    <w:rsid w:val="008078E8"/>
    <w:rsid w:val="008119CF"/>
    <w:rsid w:val="00813505"/>
    <w:rsid w:val="00813571"/>
    <w:rsid w:val="008137B9"/>
    <w:rsid w:val="008137E7"/>
    <w:rsid w:val="00814DB2"/>
    <w:rsid w:val="00815166"/>
    <w:rsid w:val="00815E2A"/>
    <w:rsid w:val="00816074"/>
    <w:rsid w:val="0081656D"/>
    <w:rsid w:val="008175CE"/>
    <w:rsid w:val="00820122"/>
    <w:rsid w:val="00821257"/>
    <w:rsid w:val="008226EA"/>
    <w:rsid w:val="008230FC"/>
    <w:rsid w:val="00823465"/>
    <w:rsid w:val="00824A47"/>
    <w:rsid w:val="00825117"/>
    <w:rsid w:val="00826903"/>
    <w:rsid w:val="00832443"/>
    <w:rsid w:val="00836E80"/>
    <w:rsid w:val="00837717"/>
    <w:rsid w:val="008408C3"/>
    <w:rsid w:val="00841D77"/>
    <w:rsid w:val="00841DD6"/>
    <w:rsid w:val="008422A7"/>
    <w:rsid w:val="00843635"/>
    <w:rsid w:val="0084389D"/>
    <w:rsid w:val="0084397B"/>
    <w:rsid w:val="00843997"/>
    <w:rsid w:val="00843D38"/>
    <w:rsid w:val="00844AF8"/>
    <w:rsid w:val="00844E62"/>
    <w:rsid w:val="0084568B"/>
    <w:rsid w:val="0084682E"/>
    <w:rsid w:val="00846FA3"/>
    <w:rsid w:val="00846FB3"/>
    <w:rsid w:val="008476DE"/>
    <w:rsid w:val="00847877"/>
    <w:rsid w:val="00850035"/>
    <w:rsid w:val="00850503"/>
    <w:rsid w:val="00851C3B"/>
    <w:rsid w:val="008527C7"/>
    <w:rsid w:val="00855D6B"/>
    <w:rsid w:val="0085607F"/>
    <w:rsid w:val="0085741B"/>
    <w:rsid w:val="00857441"/>
    <w:rsid w:val="0086142D"/>
    <w:rsid w:val="00861BD7"/>
    <w:rsid w:val="00862F1E"/>
    <w:rsid w:val="008632B8"/>
    <w:rsid w:val="00863E53"/>
    <w:rsid w:val="00864F3B"/>
    <w:rsid w:val="00865520"/>
    <w:rsid w:val="00865FD5"/>
    <w:rsid w:val="00867082"/>
    <w:rsid w:val="0086714F"/>
    <w:rsid w:val="00871944"/>
    <w:rsid w:val="00873765"/>
    <w:rsid w:val="008739D3"/>
    <w:rsid w:val="00873B23"/>
    <w:rsid w:val="0087422A"/>
    <w:rsid w:val="00874EAA"/>
    <w:rsid w:val="0087535E"/>
    <w:rsid w:val="00875FDD"/>
    <w:rsid w:val="008778CB"/>
    <w:rsid w:val="00877D8C"/>
    <w:rsid w:val="008812BE"/>
    <w:rsid w:val="00883158"/>
    <w:rsid w:val="008855A1"/>
    <w:rsid w:val="008860D9"/>
    <w:rsid w:val="00886230"/>
    <w:rsid w:val="00886A8E"/>
    <w:rsid w:val="00887625"/>
    <w:rsid w:val="00887F48"/>
    <w:rsid w:val="00890B78"/>
    <w:rsid w:val="00890CDE"/>
    <w:rsid w:val="00892601"/>
    <w:rsid w:val="008936BA"/>
    <w:rsid w:val="008938E8"/>
    <w:rsid w:val="00893EC9"/>
    <w:rsid w:val="0089607C"/>
    <w:rsid w:val="00897F9D"/>
    <w:rsid w:val="008A3EBB"/>
    <w:rsid w:val="008A491B"/>
    <w:rsid w:val="008A4CF2"/>
    <w:rsid w:val="008A5045"/>
    <w:rsid w:val="008A579A"/>
    <w:rsid w:val="008A6007"/>
    <w:rsid w:val="008B185B"/>
    <w:rsid w:val="008B25AE"/>
    <w:rsid w:val="008B337D"/>
    <w:rsid w:val="008B3962"/>
    <w:rsid w:val="008B3B63"/>
    <w:rsid w:val="008B3E1B"/>
    <w:rsid w:val="008B5B16"/>
    <w:rsid w:val="008B5D81"/>
    <w:rsid w:val="008B6A03"/>
    <w:rsid w:val="008B6CE7"/>
    <w:rsid w:val="008B73B2"/>
    <w:rsid w:val="008B7A7D"/>
    <w:rsid w:val="008C0EB3"/>
    <w:rsid w:val="008C3348"/>
    <w:rsid w:val="008C3E57"/>
    <w:rsid w:val="008C4731"/>
    <w:rsid w:val="008C5B78"/>
    <w:rsid w:val="008D0BB8"/>
    <w:rsid w:val="008D23E6"/>
    <w:rsid w:val="008D3B44"/>
    <w:rsid w:val="008D3BE7"/>
    <w:rsid w:val="008D4FA3"/>
    <w:rsid w:val="008D5319"/>
    <w:rsid w:val="008D5B88"/>
    <w:rsid w:val="008D6F51"/>
    <w:rsid w:val="008D769C"/>
    <w:rsid w:val="008D7A6D"/>
    <w:rsid w:val="008E0F72"/>
    <w:rsid w:val="008E17A0"/>
    <w:rsid w:val="008E3317"/>
    <w:rsid w:val="008E3C1A"/>
    <w:rsid w:val="008E4EFA"/>
    <w:rsid w:val="008E5387"/>
    <w:rsid w:val="008E57F1"/>
    <w:rsid w:val="008E6DF0"/>
    <w:rsid w:val="008E70FC"/>
    <w:rsid w:val="008E7AFD"/>
    <w:rsid w:val="008F0C85"/>
    <w:rsid w:val="008F0F64"/>
    <w:rsid w:val="008F3E2B"/>
    <w:rsid w:val="008F4298"/>
    <w:rsid w:val="008F429A"/>
    <w:rsid w:val="008F474E"/>
    <w:rsid w:val="008F4BF9"/>
    <w:rsid w:val="008F4C4C"/>
    <w:rsid w:val="008F5770"/>
    <w:rsid w:val="008F63E3"/>
    <w:rsid w:val="008F645D"/>
    <w:rsid w:val="00900439"/>
    <w:rsid w:val="00900B6D"/>
    <w:rsid w:val="009018F0"/>
    <w:rsid w:val="00902078"/>
    <w:rsid w:val="009025DE"/>
    <w:rsid w:val="00902A1E"/>
    <w:rsid w:val="00902C1F"/>
    <w:rsid w:val="009036C1"/>
    <w:rsid w:val="009037F3"/>
    <w:rsid w:val="00903DE7"/>
    <w:rsid w:val="009047C1"/>
    <w:rsid w:val="00904DB8"/>
    <w:rsid w:val="00905120"/>
    <w:rsid w:val="00905E6F"/>
    <w:rsid w:val="00906597"/>
    <w:rsid w:val="009108ED"/>
    <w:rsid w:val="00911699"/>
    <w:rsid w:val="009146C4"/>
    <w:rsid w:val="00914786"/>
    <w:rsid w:val="009173DC"/>
    <w:rsid w:val="00920E9B"/>
    <w:rsid w:val="00922232"/>
    <w:rsid w:val="00923BBC"/>
    <w:rsid w:val="00925B6D"/>
    <w:rsid w:val="00931E7D"/>
    <w:rsid w:val="0093465F"/>
    <w:rsid w:val="009351CF"/>
    <w:rsid w:val="00940E07"/>
    <w:rsid w:val="009416CB"/>
    <w:rsid w:val="009427E5"/>
    <w:rsid w:val="0094382D"/>
    <w:rsid w:val="00943847"/>
    <w:rsid w:val="00944BF6"/>
    <w:rsid w:val="009451A3"/>
    <w:rsid w:val="00950423"/>
    <w:rsid w:val="0095073F"/>
    <w:rsid w:val="00950D09"/>
    <w:rsid w:val="009510B1"/>
    <w:rsid w:val="00954408"/>
    <w:rsid w:val="009547F2"/>
    <w:rsid w:val="00954941"/>
    <w:rsid w:val="00954DC2"/>
    <w:rsid w:val="009554D8"/>
    <w:rsid w:val="0095583C"/>
    <w:rsid w:val="00955850"/>
    <w:rsid w:val="00955E62"/>
    <w:rsid w:val="00960251"/>
    <w:rsid w:val="00961E3B"/>
    <w:rsid w:val="009635D2"/>
    <w:rsid w:val="0096475F"/>
    <w:rsid w:val="009666F0"/>
    <w:rsid w:val="00967035"/>
    <w:rsid w:val="009701E1"/>
    <w:rsid w:val="009703B6"/>
    <w:rsid w:val="0097202B"/>
    <w:rsid w:val="00972526"/>
    <w:rsid w:val="00972D19"/>
    <w:rsid w:val="00972F1A"/>
    <w:rsid w:val="009733C0"/>
    <w:rsid w:val="00974841"/>
    <w:rsid w:val="00974A2C"/>
    <w:rsid w:val="00975156"/>
    <w:rsid w:val="0097581B"/>
    <w:rsid w:val="0097659D"/>
    <w:rsid w:val="0098057F"/>
    <w:rsid w:val="00982022"/>
    <w:rsid w:val="00983226"/>
    <w:rsid w:val="0098412D"/>
    <w:rsid w:val="00984B54"/>
    <w:rsid w:val="00984F54"/>
    <w:rsid w:val="0098599C"/>
    <w:rsid w:val="00985F2B"/>
    <w:rsid w:val="00986758"/>
    <w:rsid w:val="00986A75"/>
    <w:rsid w:val="00986CA8"/>
    <w:rsid w:val="009873D3"/>
    <w:rsid w:val="009903EF"/>
    <w:rsid w:val="00990848"/>
    <w:rsid w:val="00990D67"/>
    <w:rsid w:val="0099229F"/>
    <w:rsid w:val="00994E3B"/>
    <w:rsid w:val="00996205"/>
    <w:rsid w:val="009A3A9F"/>
    <w:rsid w:val="009A5130"/>
    <w:rsid w:val="009A5D4E"/>
    <w:rsid w:val="009A7B3C"/>
    <w:rsid w:val="009B04F6"/>
    <w:rsid w:val="009B0FF2"/>
    <w:rsid w:val="009B1A9F"/>
    <w:rsid w:val="009B29A1"/>
    <w:rsid w:val="009B3898"/>
    <w:rsid w:val="009B426C"/>
    <w:rsid w:val="009B4DE1"/>
    <w:rsid w:val="009B5517"/>
    <w:rsid w:val="009B5B9B"/>
    <w:rsid w:val="009B7157"/>
    <w:rsid w:val="009C3411"/>
    <w:rsid w:val="009C3447"/>
    <w:rsid w:val="009C3FB0"/>
    <w:rsid w:val="009C5094"/>
    <w:rsid w:val="009C593C"/>
    <w:rsid w:val="009C596B"/>
    <w:rsid w:val="009C5AA7"/>
    <w:rsid w:val="009C6690"/>
    <w:rsid w:val="009C682C"/>
    <w:rsid w:val="009D06F8"/>
    <w:rsid w:val="009D2B79"/>
    <w:rsid w:val="009D5332"/>
    <w:rsid w:val="009D7EB7"/>
    <w:rsid w:val="009E00D3"/>
    <w:rsid w:val="009E0656"/>
    <w:rsid w:val="009E09AF"/>
    <w:rsid w:val="009E0F57"/>
    <w:rsid w:val="009E39EC"/>
    <w:rsid w:val="009E3A49"/>
    <w:rsid w:val="009E45D7"/>
    <w:rsid w:val="009E4E3D"/>
    <w:rsid w:val="009E52C5"/>
    <w:rsid w:val="009E607D"/>
    <w:rsid w:val="009E75C1"/>
    <w:rsid w:val="009F097D"/>
    <w:rsid w:val="009F1A69"/>
    <w:rsid w:val="009F2533"/>
    <w:rsid w:val="009F380A"/>
    <w:rsid w:val="009F4C67"/>
    <w:rsid w:val="009F654D"/>
    <w:rsid w:val="00A02DEC"/>
    <w:rsid w:val="00A03974"/>
    <w:rsid w:val="00A04835"/>
    <w:rsid w:val="00A05957"/>
    <w:rsid w:val="00A0650C"/>
    <w:rsid w:val="00A07503"/>
    <w:rsid w:val="00A10213"/>
    <w:rsid w:val="00A118C0"/>
    <w:rsid w:val="00A1218E"/>
    <w:rsid w:val="00A13B44"/>
    <w:rsid w:val="00A14978"/>
    <w:rsid w:val="00A15517"/>
    <w:rsid w:val="00A17C77"/>
    <w:rsid w:val="00A20696"/>
    <w:rsid w:val="00A20E39"/>
    <w:rsid w:val="00A20E64"/>
    <w:rsid w:val="00A21809"/>
    <w:rsid w:val="00A23B5A"/>
    <w:rsid w:val="00A27224"/>
    <w:rsid w:val="00A27246"/>
    <w:rsid w:val="00A27820"/>
    <w:rsid w:val="00A31CDA"/>
    <w:rsid w:val="00A329C2"/>
    <w:rsid w:val="00A32DCF"/>
    <w:rsid w:val="00A330B2"/>
    <w:rsid w:val="00A33ABA"/>
    <w:rsid w:val="00A362A9"/>
    <w:rsid w:val="00A36C53"/>
    <w:rsid w:val="00A4218D"/>
    <w:rsid w:val="00A433FE"/>
    <w:rsid w:val="00A4691C"/>
    <w:rsid w:val="00A472E6"/>
    <w:rsid w:val="00A47615"/>
    <w:rsid w:val="00A4786C"/>
    <w:rsid w:val="00A478B1"/>
    <w:rsid w:val="00A5018E"/>
    <w:rsid w:val="00A507F9"/>
    <w:rsid w:val="00A51568"/>
    <w:rsid w:val="00A520BA"/>
    <w:rsid w:val="00A52BCF"/>
    <w:rsid w:val="00A54C83"/>
    <w:rsid w:val="00A54DA4"/>
    <w:rsid w:val="00A550A3"/>
    <w:rsid w:val="00A56876"/>
    <w:rsid w:val="00A576CF"/>
    <w:rsid w:val="00A6005F"/>
    <w:rsid w:val="00A60EB6"/>
    <w:rsid w:val="00A629F8"/>
    <w:rsid w:val="00A63884"/>
    <w:rsid w:val="00A65372"/>
    <w:rsid w:val="00A65595"/>
    <w:rsid w:val="00A65761"/>
    <w:rsid w:val="00A6634C"/>
    <w:rsid w:val="00A67C99"/>
    <w:rsid w:val="00A705DB"/>
    <w:rsid w:val="00A70EBC"/>
    <w:rsid w:val="00A72685"/>
    <w:rsid w:val="00A72931"/>
    <w:rsid w:val="00A73452"/>
    <w:rsid w:val="00A7495B"/>
    <w:rsid w:val="00A74B81"/>
    <w:rsid w:val="00A75419"/>
    <w:rsid w:val="00A77A80"/>
    <w:rsid w:val="00A810CE"/>
    <w:rsid w:val="00A8373D"/>
    <w:rsid w:val="00A86E74"/>
    <w:rsid w:val="00A94CEA"/>
    <w:rsid w:val="00A95310"/>
    <w:rsid w:val="00A968E7"/>
    <w:rsid w:val="00A97F86"/>
    <w:rsid w:val="00AA11EF"/>
    <w:rsid w:val="00AA1528"/>
    <w:rsid w:val="00AA167A"/>
    <w:rsid w:val="00AA1DF8"/>
    <w:rsid w:val="00AA2222"/>
    <w:rsid w:val="00AA2328"/>
    <w:rsid w:val="00AA5316"/>
    <w:rsid w:val="00AA6A94"/>
    <w:rsid w:val="00AA6BE1"/>
    <w:rsid w:val="00AA74C6"/>
    <w:rsid w:val="00AB0EA3"/>
    <w:rsid w:val="00AB1832"/>
    <w:rsid w:val="00AB1CCB"/>
    <w:rsid w:val="00AB3909"/>
    <w:rsid w:val="00AB52E9"/>
    <w:rsid w:val="00AB56C4"/>
    <w:rsid w:val="00AB5765"/>
    <w:rsid w:val="00AB5CED"/>
    <w:rsid w:val="00AB7ABC"/>
    <w:rsid w:val="00AC213F"/>
    <w:rsid w:val="00AC21C6"/>
    <w:rsid w:val="00AC29FE"/>
    <w:rsid w:val="00AC3CB8"/>
    <w:rsid w:val="00AC465F"/>
    <w:rsid w:val="00AC5C96"/>
    <w:rsid w:val="00AC6550"/>
    <w:rsid w:val="00AD16EE"/>
    <w:rsid w:val="00AD2953"/>
    <w:rsid w:val="00AD2A36"/>
    <w:rsid w:val="00AD2C96"/>
    <w:rsid w:val="00AD3361"/>
    <w:rsid w:val="00AD3520"/>
    <w:rsid w:val="00AD5A4B"/>
    <w:rsid w:val="00AE1590"/>
    <w:rsid w:val="00AE2525"/>
    <w:rsid w:val="00AE2EE3"/>
    <w:rsid w:val="00AE3E1E"/>
    <w:rsid w:val="00AE5368"/>
    <w:rsid w:val="00AE5504"/>
    <w:rsid w:val="00AE674F"/>
    <w:rsid w:val="00AE7595"/>
    <w:rsid w:val="00AF0A6B"/>
    <w:rsid w:val="00AF0C93"/>
    <w:rsid w:val="00AF1005"/>
    <w:rsid w:val="00AF1455"/>
    <w:rsid w:val="00AF362F"/>
    <w:rsid w:val="00AF4BE9"/>
    <w:rsid w:val="00AF51BB"/>
    <w:rsid w:val="00AF5FFA"/>
    <w:rsid w:val="00AF6742"/>
    <w:rsid w:val="00AF6897"/>
    <w:rsid w:val="00AF68B3"/>
    <w:rsid w:val="00B00005"/>
    <w:rsid w:val="00B00B23"/>
    <w:rsid w:val="00B01E34"/>
    <w:rsid w:val="00B022D1"/>
    <w:rsid w:val="00B03033"/>
    <w:rsid w:val="00B0383E"/>
    <w:rsid w:val="00B0388A"/>
    <w:rsid w:val="00B03D0E"/>
    <w:rsid w:val="00B03E5C"/>
    <w:rsid w:val="00B04540"/>
    <w:rsid w:val="00B04DDA"/>
    <w:rsid w:val="00B05D9E"/>
    <w:rsid w:val="00B05DB8"/>
    <w:rsid w:val="00B06AA1"/>
    <w:rsid w:val="00B07870"/>
    <w:rsid w:val="00B10911"/>
    <w:rsid w:val="00B1091E"/>
    <w:rsid w:val="00B10AAF"/>
    <w:rsid w:val="00B1171B"/>
    <w:rsid w:val="00B12909"/>
    <w:rsid w:val="00B13D33"/>
    <w:rsid w:val="00B15168"/>
    <w:rsid w:val="00B1517B"/>
    <w:rsid w:val="00B155CE"/>
    <w:rsid w:val="00B16B5E"/>
    <w:rsid w:val="00B20D20"/>
    <w:rsid w:val="00B21148"/>
    <w:rsid w:val="00B224C6"/>
    <w:rsid w:val="00B22539"/>
    <w:rsid w:val="00B34BA6"/>
    <w:rsid w:val="00B35241"/>
    <w:rsid w:val="00B35B8E"/>
    <w:rsid w:val="00B36869"/>
    <w:rsid w:val="00B36B11"/>
    <w:rsid w:val="00B37E7C"/>
    <w:rsid w:val="00B417D1"/>
    <w:rsid w:val="00B42280"/>
    <w:rsid w:val="00B423C5"/>
    <w:rsid w:val="00B427D7"/>
    <w:rsid w:val="00B436BB"/>
    <w:rsid w:val="00B43B3A"/>
    <w:rsid w:val="00B442CC"/>
    <w:rsid w:val="00B45100"/>
    <w:rsid w:val="00B455F4"/>
    <w:rsid w:val="00B46C72"/>
    <w:rsid w:val="00B46E37"/>
    <w:rsid w:val="00B500E8"/>
    <w:rsid w:val="00B50230"/>
    <w:rsid w:val="00B50D8E"/>
    <w:rsid w:val="00B51B98"/>
    <w:rsid w:val="00B53B1B"/>
    <w:rsid w:val="00B544FB"/>
    <w:rsid w:val="00B54A14"/>
    <w:rsid w:val="00B567FB"/>
    <w:rsid w:val="00B568CE"/>
    <w:rsid w:val="00B60383"/>
    <w:rsid w:val="00B60719"/>
    <w:rsid w:val="00B60A09"/>
    <w:rsid w:val="00B60E1E"/>
    <w:rsid w:val="00B6117A"/>
    <w:rsid w:val="00B6135D"/>
    <w:rsid w:val="00B63463"/>
    <w:rsid w:val="00B658E9"/>
    <w:rsid w:val="00B65988"/>
    <w:rsid w:val="00B6647E"/>
    <w:rsid w:val="00B667D2"/>
    <w:rsid w:val="00B66C58"/>
    <w:rsid w:val="00B67206"/>
    <w:rsid w:val="00B67246"/>
    <w:rsid w:val="00B7024D"/>
    <w:rsid w:val="00B70BDD"/>
    <w:rsid w:val="00B71370"/>
    <w:rsid w:val="00B73ED3"/>
    <w:rsid w:val="00B744C1"/>
    <w:rsid w:val="00B75A03"/>
    <w:rsid w:val="00B75EE4"/>
    <w:rsid w:val="00B806DB"/>
    <w:rsid w:val="00B807E5"/>
    <w:rsid w:val="00B811D1"/>
    <w:rsid w:val="00B8370A"/>
    <w:rsid w:val="00B855EA"/>
    <w:rsid w:val="00B875AF"/>
    <w:rsid w:val="00B90B65"/>
    <w:rsid w:val="00B917A0"/>
    <w:rsid w:val="00B9262A"/>
    <w:rsid w:val="00B9309A"/>
    <w:rsid w:val="00B9317C"/>
    <w:rsid w:val="00B937DD"/>
    <w:rsid w:val="00B94A61"/>
    <w:rsid w:val="00B94FE7"/>
    <w:rsid w:val="00B9527F"/>
    <w:rsid w:val="00B96E6D"/>
    <w:rsid w:val="00B973EA"/>
    <w:rsid w:val="00BA1CA6"/>
    <w:rsid w:val="00BA22CA"/>
    <w:rsid w:val="00BA2B89"/>
    <w:rsid w:val="00BA3C07"/>
    <w:rsid w:val="00BA6B27"/>
    <w:rsid w:val="00BA7941"/>
    <w:rsid w:val="00BA7AF3"/>
    <w:rsid w:val="00BB0B99"/>
    <w:rsid w:val="00BB0E88"/>
    <w:rsid w:val="00BB1E88"/>
    <w:rsid w:val="00BB25C6"/>
    <w:rsid w:val="00BB2645"/>
    <w:rsid w:val="00BB4323"/>
    <w:rsid w:val="00BB5A39"/>
    <w:rsid w:val="00BB5AD1"/>
    <w:rsid w:val="00BB5C07"/>
    <w:rsid w:val="00BB5DBC"/>
    <w:rsid w:val="00BB5E83"/>
    <w:rsid w:val="00BB5F2E"/>
    <w:rsid w:val="00BB6E25"/>
    <w:rsid w:val="00BC3271"/>
    <w:rsid w:val="00BC491C"/>
    <w:rsid w:val="00BC4BF8"/>
    <w:rsid w:val="00BC5667"/>
    <w:rsid w:val="00BC5A30"/>
    <w:rsid w:val="00BD062C"/>
    <w:rsid w:val="00BD0B60"/>
    <w:rsid w:val="00BD0BE6"/>
    <w:rsid w:val="00BD2FA1"/>
    <w:rsid w:val="00BD650C"/>
    <w:rsid w:val="00BE10C6"/>
    <w:rsid w:val="00BE198E"/>
    <w:rsid w:val="00BE56D8"/>
    <w:rsid w:val="00BE5A98"/>
    <w:rsid w:val="00BE6092"/>
    <w:rsid w:val="00BE62E7"/>
    <w:rsid w:val="00BE6CAF"/>
    <w:rsid w:val="00BE7A46"/>
    <w:rsid w:val="00BF0267"/>
    <w:rsid w:val="00BF05AF"/>
    <w:rsid w:val="00BF0DF3"/>
    <w:rsid w:val="00BF0E52"/>
    <w:rsid w:val="00BF1903"/>
    <w:rsid w:val="00BF1DFC"/>
    <w:rsid w:val="00BF3914"/>
    <w:rsid w:val="00BF493C"/>
    <w:rsid w:val="00BF4BDA"/>
    <w:rsid w:val="00BF6BD3"/>
    <w:rsid w:val="00BF7039"/>
    <w:rsid w:val="00BF75D4"/>
    <w:rsid w:val="00C01A22"/>
    <w:rsid w:val="00C0259E"/>
    <w:rsid w:val="00C025C6"/>
    <w:rsid w:val="00C02C3B"/>
    <w:rsid w:val="00C03C96"/>
    <w:rsid w:val="00C05118"/>
    <w:rsid w:val="00C059D5"/>
    <w:rsid w:val="00C05C41"/>
    <w:rsid w:val="00C07564"/>
    <w:rsid w:val="00C105E2"/>
    <w:rsid w:val="00C10E62"/>
    <w:rsid w:val="00C13ADF"/>
    <w:rsid w:val="00C15221"/>
    <w:rsid w:val="00C160EF"/>
    <w:rsid w:val="00C16A07"/>
    <w:rsid w:val="00C203A4"/>
    <w:rsid w:val="00C20A07"/>
    <w:rsid w:val="00C214D4"/>
    <w:rsid w:val="00C21A04"/>
    <w:rsid w:val="00C22087"/>
    <w:rsid w:val="00C221FD"/>
    <w:rsid w:val="00C22259"/>
    <w:rsid w:val="00C22809"/>
    <w:rsid w:val="00C23028"/>
    <w:rsid w:val="00C3039C"/>
    <w:rsid w:val="00C30F54"/>
    <w:rsid w:val="00C31E1B"/>
    <w:rsid w:val="00C3209C"/>
    <w:rsid w:val="00C352B8"/>
    <w:rsid w:val="00C3589A"/>
    <w:rsid w:val="00C35B26"/>
    <w:rsid w:val="00C36A3C"/>
    <w:rsid w:val="00C41A2F"/>
    <w:rsid w:val="00C42226"/>
    <w:rsid w:val="00C42AF5"/>
    <w:rsid w:val="00C43827"/>
    <w:rsid w:val="00C44B50"/>
    <w:rsid w:val="00C44FFD"/>
    <w:rsid w:val="00C4528F"/>
    <w:rsid w:val="00C45B55"/>
    <w:rsid w:val="00C477DC"/>
    <w:rsid w:val="00C47FFA"/>
    <w:rsid w:val="00C51B06"/>
    <w:rsid w:val="00C51F55"/>
    <w:rsid w:val="00C52927"/>
    <w:rsid w:val="00C529BB"/>
    <w:rsid w:val="00C53831"/>
    <w:rsid w:val="00C55323"/>
    <w:rsid w:val="00C57FB7"/>
    <w:rsid w:val="00C6013E"/>
    <w:rsid w:val="00C603C2"/>
    <w:rsid w:val="00C611B8"/>
    <w:rsid w:val="00C6191F"/>
    <w:rsid w:val="00C63460"/>
    <w:rsid w:val="00C634BD"/>
    <w:rsid w:val="00C64113"/>
    <w:rsid w:val="00C64EEA"/>
    <w:rsid w:val="00C660D3"/>
    <w:rsid w:val="00C66BAA"/>
    <w:rsid w:val="00C66BD1"/>
    <w:rsid w:val="00C7082D"/>
    <w:rsid w:val="00C725A4"/>
    <w:rsid w:val="00C73CCB"/>
    <w:rsid w:val="00C73CE7"/>
    <w:rsid w:val="00C73F8C"/>
    <w:rsid w:val="00C752BE"/>
    <w:rsid w:val="00C76A9B"/>
    <w:rsid w:val="00C77BFB"/>
    <w:rsid w:val="00C826D4"/>
    <w:rsid w:val="00C82BC2"/>
    <w:rsid w:val="00C83365"/>
    <w:rsid w:val="00C837EF"/>
    <w:rsid w:val="00C84BE5"/>
    <w:rsid w:val="00C85930"/>
    <w:rsid w:val="00C85F41"/>
    <w:rsid w:val="00C86296"/>
    <w:rsid w:val="00C8655C"/>
    <w:rsid w:val="00C86EB2"/>
    <w:rsid w:val="00C94808"/>
    <w:rsid w:val="00C94897"/>
    <w:rsid w:val="00C95ECD"/>
    <w:rsid w:val="00C96955"/>
    <w:rsid w:val="00C96DEA"/>
    <w:rsid w:val="00CA1AEB"/>
    <w:rsid w:val="00CA1B6A"/>
    <w:rsid w:val="00CA20FF"/>
    <w:rsid w:val="00CA3545"/>
    <w:rsid w:val="00CA3638"/>
    <w:rsid w:val="00CA3C70"/>
    <w:rsid w:val="00CA3D0B"/>
    <w:rsid w:val="00CA48EE"/>
    <w:rsid w:val="00CA537E"/>
    <w:rsid w:val="00CA66FA"/>
    <w:rsid w:val="00CA7017"/>
    <w:rsid w:val="00CA7EA2"/>
    <w:rsid w:val="00CB03F6"/>
    <w:rsid w:val="00CB088A"/>
    <w:rsid w:val="00CB2E33"/>
    <w:rsid w:val="00CB4C11"/>
    <w:rsid w:val="00CB5EE4"/>
    <w:rsid w:val="00CB6431"/>
    <w:rsid w:val="00CC011E"/>
    <w:rsid w:val="00CC091C"/>
    <w:rsid w:val="00CC0FE5"/>
    <w:rsid w:val="00CC2829"/>
    <w:rsid w:val="00CC2974"/>
    <w:rsid w:val="00CC2E44"/>
    <w:rsid w:val="00CC30A8"/>
    <w:rsid w:val="00CC33DE"/>
    <w:rsid w:val="00CC3B6C"/>
    <w:rsid w:val="00CC52ED"/>
    <w:rsid w:val="00CC6CC6"/>
    <w:rsid w:val="00CC772A"/>
    <w:rsid w:val="00CC7840"/>
    <w:rsid w:val="00CD00ED"/>
    <w:rsid w:val="00CD0D8E"/>
    <w:rsid w:val="00CD1CCC"/>
    <w:rsid w:val="00CD36BC"/>
    <w:rsid w:val="00CD40B0"/>
    <w:rsid w:val="00CD42E6"/>
    <w:rsid w:val="00CD57DB"/>
    <w:rsid w:val="00CD5879"/>
    <w:rsid w:val="00CD7352"/>
    <w:rsid w:val="00CE07D5"/>
    <w:rsid w:val="00CE0C07"/>
    <w:rsid w:val="00CE1A3B"/>
    <w:rsid w:val="00CE1F0F"/>
    <w:rsid w:val="00CE2601"/>
    <w:rsid w:val="00CE3A8B"/>
    <w:rsid w:val="00CE5420"/>
    <w:rsid w:val="00CF01F5"/>
    <w:rsid w:val="00CF1181"/>
    <w:rsid w:val="00CF38C3"/>
    <w:rsid w:val="00CF4049"/>
    <w:rsid w:val="00CF7514"/>
    <w:rsid w:val="00D00610"/>
    <w:rsid w:val="00D01150"/>
    <w:rsid w:val="00D02395"/>
    <w:rsid w:val="00D036B4"/>
    <w:rsid w:val="00D0412A"/>
    <w:rsid w:val="00D04441"/>
    <w:rsid w:val="00D06075"/>
    <w:rsid w:val="00D072E3"/>
    <w:rsid w:val="00D07744"/>
    <w:rsid w:val="00D10595"/>
    <w:rsid w:val="00D11D75"/>
    <w:rsid w:val="00D126DC"/>
    <w:rsid w:val="00D12F72"/>
    <w:rsid w:val="00D14D88"/>
    <w:rsid w:val="00D15860"/>
    <w:rsid w:val="00D20261"/>
    <w:rsid w:val="00D208D3"/>
    <w:rsid w:val="00D2181D"/>
    <w:rsid w:val="00D22B27"/>
    <w:rsid w:val="00D24C1E"/>
    <w:rsid w:val="00D258AC"/>
    <w:rsid w:val="00D25CF8"/>
    <w:rsid w:val="00D302CB"/>
    <w:rsid w:val="00D307BB"/>
    <w:rsid w:val="00D3127C"/>
    <w:rsid w:val="00D33B69"/>
    <w:rsid w:val="00D34BC3"/>
    <w:rsid w:val="00D35A25"/>
    <w:rsid w:val="00D36F58"/>
    <w:rsid w:val="00D43086"/>
    <w:rsid w:val="00D43BAB"/>
    <w:rsid w:val="00D43DAE"/>
    <w:rsid w:val="00D4402C"/>
    <w:rsid w:val="00D44089"/>
    <w:rsid w:val="00D45076"/>
    <w:rsid w:val="00D4555B"/>
    <w:rsid w:val="00D45E40"/>
    <w:rsid w:val="00D4690A"/>
    <w:rsid w:val="00D473F6"/>
    <w:rsid w:val="00D51E7E"/>
    <w:rsid w:val="00D5233C"/>
    <w:rsid w:val="00D526D4"/>
    <w:rsid w:val="00D5304B"/>
    <w:rsid w:val="00D53928"/>
    <w:rsid w:val="00D53C14"/>
    <w:rsid w:val="00D53C96"/>
    <w:rsid w:val="00D53D43"/>
    <w:rsid w:val="00D54017"/>
    <w:rsid w:val="00D5500C"/>
    <w:rsid w:val="00D5697E"/>
    <w:rsid w:val="00D56A0C"/>
    <w:rsid w:val="00D60919"/>
    <w:rsid w:val="00D61365"/>
    <w:rsid w:val="00D62203"/>
    <w:rsid w:val="00D62524"/>
    <w:rsid w:val="00D704DB"/>
    <w:rsid w:val="00D714B4"/>
    <w:rsid w:val="00D72172"/>
    <w:rsid w:val="00D7253B"/>
    <w:rsid w:val="00D72963"/>
    <w:rsid w:val="00D76592"/>
    <w:rsid w:val="00D77521"/>
    <w:rsid w:val="00D81095"/>
    <w:rsid w:val="00D81787"/>
    <w:rsid w:val="00D81C78"/>
    <w:rsid w:val="00D82420"/>
    <w:rsid w:val="00D843D4"/>
    <w:rsid w:val="00D84886"/>
    <w:rsid w:val="00D84A2F"/>
    <w:rsid w:val="00D85F01"/>
    <w:rsid w:val="00D907DA"/>
    <w:rsid w:val="00D90B04"/>
    <w:rsid w:val="00D91CBC"/>
    <w:rsid w:val="00D9280D"/>
    <w:rsid w:val="00D92B53"/>
    <w:rsid w:val="00D949B3"/>
    <w:rsid w:val="00D95244"/>
    <w:rsid w:val="00D95EC9"/>
    <w:rsid w:val="00D97DEF"/>
    <w:rsid w:val="00DA01B1"/>
    <w:rsid w:val="00DA02A4"/>
    <w:rsid w:val="00DA19C9"/>
    <w:rsid w:val="00DA2370"/>
    <w:rsid w:val="00DA2688"/>
    <w:rsid w:val="00DA3645"/>
    <w:rsid w:val="00DA4849"/>
    <w:rsid w:val="00DA51B7"/>
    <w:rsid w:val="00DA6027"/>
    <w:rsid w:val="00DA74D4"/>
    <w:rsid w:val="00DB1A14"/>
    <w:rsid w:val="00DB22AF"/>
    <w:rsid w:val="00DB26AD"/>
    <w:rsid w:val="00DB285E"/>
    <w:rsid w:val="00DB2ECA"/>
    <w:rsid w:val="00DB41B5"/>
    <w:rsid w:val="00DB4B41"/>
    <w:rsid w:val="00DB5A3F"/>
    <w:rsid w:val="00DB696E"/>
    <w:rsid w:val="00DB7F14"/>
    <w:rsid w:val="00DC05ED"/>
    <w:rsid w:val="00DC0B41"/>
    <w:rsid w:val="00DC1104"/>
    <w:rsid w:val="00DC164D"/>
    <w:rsid w:val="00DC1778"/>
    <w:rsid w:val="00DC3554"/>
    <w:rsid w:val="00DC3972"/>
    <w:rsid w:val="00DC5E09"/>
    <w:rsid w:val="00DC69FA"/>
    <w:rsid w:val="00DC71EE"/>
    <w:rsid w:val="00DD07F9"/>
    <w:rsid w:val="00DD1F08"/>
    <w:rsid w:val="00DD3D34"/>
    <w:rsid w:val="00DD595C"/>
    <w:rsid w:val="00DD6091"/>
    <w:rsid w:val="00DD61BA"/>
    <w:rsid w:val="00DE0170"/>
    <w:rsid w:val="00DE0BBD"/>
    <w:rsid w:val="00DE1870"/>
    <w:rsid w:val="00DE18A0"/>
    <w:rsid w:val="00DE1F8C"/>
    <w:rsid w:val="00DE2348"/>
    <w:rsid w:val="00DE24B2"/>
    <w:rsid w:val="00DE2646"/>
    <w:rsid w:val="00DE337E"/>
    <w:rsid w:val="00DE467C"/>
    <w:rsid w:val="00DE5A17"/>
    <w:rsid w:val="00DE6889"/>
    <w:rsid w:val="00DE70E1"/>
    <w:rsid w:val="00DF05BC"/>
    <w:rsid w:val="00DF123E"/>
    <w:rsid w:val="00DF31FD"/>
    <w:rsid w:val="00DF3CAD"/>
    <w:rsid w:val="00DF40D6"/>
    <w:rsid w:val="00DF5828"/>
    <w:rsid w:val="00DF67D1"/>
    <w:rsid w:val="00E0086B"/>
    <w:rsid w:val="00E01281"/>
    <w:rsid w:val="00E025A5"/>
    <w:rsid w:val="00E02AD2"/>
    <w:rsid w:val="00E03F66"/>
    <w:rsid w:val="00E044AA"/>
    <w:rsid w:val="00E04BA3"/>
    <w:rsid w:val="00E05610"/>
    <w:rsid w:val="00E06699"/>
    <w:rsid w:val="00E07C59"/>
    <w:rsid w:val="00E10020"/>
    <w:rsid w:val="00E111DF"/>
    <w:rsid w:val="00E11307"/>
    <w:rsid w:val="00E12931"/>
    <w:rsid w:val="00E1586B"/>
    <w:rsid w:val="00E16BCE"/>
    <w:rsid w:val="00E17451"/>
    <w:rsid w:val="00E2038B"/>
    <w:rsid w:val="00E217FA"/>
    <w:rsid w:val="00E21A7D"/>
    <w:rsid w:val="00E21F67"/>
    <w:rsid w:val="00E233EC"/>
    <w:rsid w:val="00E2377C"/>
    <w:rsid w:val="00E23B8C"/>
    <w:rsid w:val="00E25FE3"/>
    <w:rsid w:val="00E32C35"/>
    <w:rsid w:val="00E34454"/>
    <w:rsid w:val="00E3471D"/>
    <w:rsid w:val="00E34781"/>
    <w:rsid w:val="00E357FE"/>
    <w:rsid w:val="00E3693D"/>
    <w:rsid w:val="00E36EEC"/>
    <w:rsid w:val="00E37291"/>
    <w:rsid w:val="00E40807"/>
    <w:rsid w:val="00E42330"/>
    <w:rsid w:val="00E42668"/>
    <w:rsid w:val="00E43006"/>
    <w:rsid w:val="00E433E3"/>
    <w:rsid w:val="00E43EC1"/>
    <w:rsid w:val="00E44CE6"/>
    <w:rsid w:val="00E45163"/>
    <w:rsid w:val="00E45ECC"/>
    <w:rsid w:val="00E461D1"/>
    <w:rsid w:val="00E50DB2"/>
    <w:rsid w:val="00E50E55"/>
    <w:rsid w:val="00E51184"/>
    <w:rsid w:val="00E5180F"/>
    <w:rsid w:val="00E5230F"/>
    <w:rsid w:val="00E52890"/>
    <w:rsid w:val="00E52952"/>
    <w:rsid w:val="00E551ED"/>
    <w:rsid w:val="00E56214"/>
    <w:rsid w:val="00E5783D"/>
    <w:rsid w:val="00E57AC9"/>
    <w:rsid w:val="00E60372"/>
    <w:rsid w:val="00E623EF"/>
    <w:rsid w:val="00E6345E"/>
    <w:rsid w:val="00E64662"/>
    <w:rsid w:val="00E64EAE"/>
    <w:rsid w:val="00E65012"/>
    <w:rsid w:val="00E65342"/>
    <w:rsid w:val="00E65A8B"/>
    <w:rsid w:val="00E65B60"/>
    <w:rsid w:val="00E668F2"/>
    <w:rsid w:val="00E66A5F"/>
    <w:rsid w:val="00E66A92"/>
    <w:rsid w:val="00E66B0A"/>
    <w:rsid w:val="00E6764F"/>
    <w:rsid w:val="00E67769"/>
    <w:rsid w:val="00E70AEF"/>
    <w:rsid w:val="00E71543"/>
    <w:rsid w:val="00E7470D"/>
    <w:rsid w:val="00E748DF"/>
    <w:rsid w:val="00E74A07"/>
    <w:rsid w:val="00E775B2"/>
    <w:rsid w:val="00E8135A"/>
    <w:rsid w:val="00E81B9F"/>
    <w:rsid w:val="00E82A67"/>
    <w:rsid w:val="00E84DA2"/>
    <w:rsid w:val="00E84F03"/>
    <w:rsid w:val="00E85A64"/>
    <w:rsid w:val="00E85C1A"/>
    <w:rsid w:val="00E860BE"/>
    <w:rsid w:val="00E866A4"/>
    <w:rsid w:val="00E86855"/>
    <w:rsid w:val="00E869C6"/>
    <w:rsid w:val="00E874B3"/>
    <w:rsid w:val="00E87859"/>
    <w:rsid w:val="00E87C04"/>
    <w:rsid w:val="00E87C64"/>
    <w:rsid w:val="00E90C87"/>
    <w:rsid w:val="00E9111C"/>
    <w:rsid w:val="00E914BF"/>
    <w:rsid w:val="00E922ED"/>
    <w:rsid w:val="00E92835"/>
    <w:rsid w:val="00E95316"/>
    <w:rsid w:val="00E95606"/>
    <w:rsid w:val="00E9567F"/>
    <w:rsid w:val="00EA0D75"/>
    <w:rsid w:val="00EA10A0"/>
    <w:rsid w:val="00EA11E2"/>
    <w:rsid w:val="00EA228F"/>
    <w:rsid w:val="00EA22B6"/>
    <w:rsid w:val="00EA39A8"/>
    <w:rsid w:val="00EA3E5B"/>
    <w:rsid w:val="00EA3EB7"/>
    <w:rsid w:val="00EB0856"/>
    <w:rsid w:val="00EB0E2A"/>
    <w:rsid w:val="00EB1D98"/>
    <w:rsid w:val="00EB38F8"/>
    <w:rsid w:val="00EB4677"/>
    <w:rsid w:val="00EB4CFD"/>
    <w:rsid w:val="00EB5813"/>
    <w:rsid w:val="00EB60CA"/>
    <w:rsid w:val="00EB7ED6"/>
    <w:rsid w:val="00EC0CD1"/>
    <w:rsid w:val="00EC13FD"/>
    <w:rsid w:val="00EC2CD2"/>
    <w:rsid w:val="00EC641A"/>
    <w:rsid w:val="00EC6692"/>
    <w:rsid w:val="00ED1B3C"/>
    <w:rsid w:val="00ED30D2"/>
    <w:rsid w:val="00ED352D"/>
    <w:rsid w:val="00ED3630"/>
    <w:rsid w:val="00ED3665"/>
    <w:rsid w:val="00ED4283"/>
    <w:rsid w:val="00ED4792"/>
    <w:rsid w:val="00ED5E2B"/>
    <w:rsid w:val="00EE0199"/>
    <w:rsid w:val="00EE08FB"/>
    <w:rsid w:val="00EE389E"/>
    <w:rsid w:val="00EE3D35"/>
    <w:rsid w:val="00EE5CB5"/>
    <w:rsid w:val="00EE5FD9"/>
    <w:rsid w:val="00EE6410"/>
    <w:rsid w:val="00EE6554"/>
    <w:rsid w:val="00EE688E"/>
    <w:rsid w:val="00EF0FDA"/>
    <w:rsid w:val="00EF1BD3"/>
    <w:rsid w:val="00EF3209"/>
    <w:rsid w:val="00EF4674"/>
    <w:rsid w:val="00EF4C44"/>
    <w:rsid w:val="00EF59BD"/>
    <w:rsid w:val="00EF7647"/>
    <w:rsid w:val="00EF7773"/>
    <w:rsid w:val="00EF77A2"/>
    <w:rsid w:val="00EF7A30"/>
    <w:rsid w:val="00F01B34"/>
    <w:rsid w:val="00F055A8"/>
    <w:rsid w:val="00F061A6"/>
    <w:rsid w:val="00F06A55"/>
    <w:rsid w:val="00F104B7"/>
    <w:rsid w:val="00F104BC"/>
    <w:rsid w:val="00F109E6"/>
    <w:rsid w:val="00F10B7A"/>
    <w:rsid w:val="00F11D33"/>
    <w:rsid w:val="00F12EDC"/>
    <w:rsid w:val="00F13F3A"/>
    <w:rsid w:val="00F16DC7"/>
    <w:rsid w:val="00F17028"/>
    <w:rsid w:val="00F172DE"/>
    <w:rsid w:val="00F17EAB"/>
    <w:rsid w:val="00F21634"/>
    <w:rsid w:val="00F2195F"/>
    <w:rsid w:val="00F22BD4"/>
    <w:rsid w:val="00F22E5E"/>
    <w:rsid w:val="00F2440A"/>
    <w:rsid w:val="00F24F92"/>
    <w:rsid w:val="00F26373"/>
    <w:rsid w:val="00F27CA7"/>
    <w:rsid w:val="00F27E20"/>
    <w:rsid w:val="00F30906"/>
    <w:rsid w:val="00F31483"/>
    <w:rsid w:val="00F32D8B"/>
    <w:rsid w:val="00F348AB"/>
    <w:rsid w:val="00F3626C"/>
    <w:rsid w:val="00F36393"/>
    <w:rsid w:val="00F369A6"/>
    <w:rsid w:val="00F43FAB"/>
    <w:rsid w:val="00F44B4C"/>
    <w:rsid w:val="00F455CC"/>
    <w:rsid w:val="00F45875"/>
    <w:rsid w:val="00F46A4F"/>
    <w:rsid w:val="00F51B39"/>
    <w:rsid w:val="00F52D27"/>
    <w:rsid w:val="00F5357E"/>
    <w:rsid w:val="00F535C0"/>
    <w:rsid w:val="00F543C6"/>
    <w:rsid w:val="00F555C7"/>
    <w:rsid w:val="00F5585F"/>
    <w:rsid w:val="00F56EB7"/>
    <w:rsid w:val="00F56F68"/>
    <w:rsid w:val="00F57BA4"/>
    <w:rsid w:val="00F61478"/>
    <w:rsid w:val="00F62BA1"/>
    <w:rsid w:val="00F63F1C"/>
    <w:rsid w:val="00F648A1"/>
    <w:rsid w:val="00F65EAF"/>
    <w:rsid w:val="00F66E10"/>
    <w:rsid w:val="00F66F12"/>
    <w:rsid w:val="00F72A72"/>
    <w:rsid w:val="00F72A75"/>
    <w:rsid w:val="00F73E84"/>
    <w:rsid w:val="00F748BD"/>
    <w:rsid w:val="00F7602F"/>
    <w:rsid w:val="00F764A3"/>
    <w:rsid w:val="00F774FB"/>
    <w:rsid w:val="00F77E67"/>
    <w:rsid w:val="00F812D4"/>
    <w:rsid w:val="00F82125"/>
    <w:rsid w:val="00F835D0"/>
    <w:rsid w:val="00F8372B"/>
    <w:rsid w:val="00F84354"/>
    <w:rsid w:val="00F847F3"/>
    <w:rsid w:val="00F84831"/>
    <w:rsid w:val="00F8555C"/>
    <w:rsid w:val="00F8657D"/>
    <w:rsid w:val="00F87167"/>
    <w:rsid w:val="00F90A9A"/>
    <w:rsid w:val="00F90D55"/>
    <w:rsid w:val="00F913F1"/>
    <w:rsid w:val="00F91481"/>
    <w:rsid w:val="00F92DD4"/>
    <w:rsid w:val="00F934C7"/>
    <w:rsid w:val="00F945FA"/>
    <w:rsid w:val="00F94A08"/>
    <w:rsid w:val="00FA0144"/>
    <w:rsid w:val="00FA05AB"/>
    <w:rsid w:val="00FA1C93"/>
    <w:rsid w:val="00FA2184"/>
    <w:rsid w:val="00FA474B"/>
    <w:rsid w:val="00FA6333"/>
    <w:rsid w:val="00FA64B2"/>
    <w:rsid w:val="00FA6957"/>
    <w:rsid w:val="00FB0411"/>
    <w:rsid w:val="00FB06D6"/>
    <w:rsid w:val="00FB182C"/>
    <w:rsid w:val="00FB24CF"/>
    <w:rsid w:val="00FB307A"/>
    <w:rsid w:val="00FB4661"/>
    <w:rsid w:val="00FC19D1"/>
    <w:rsid w:val="00FC1EB1"/>
    <w:rsid w:val="00FC262F"/>
    <w:rsid w:val="00FC3044"/>
    <w:rsid w:val="00FC30D0"/>
    <w:rsid w:val="00FC37E0"/>
    <w:rsid w:val="00FC474F"/>
    <w:rsid w:val="00FC62D2"/>
    <w:rsid w:val="00FC71A0"/>
    <w:rsid w:val="00FD024D"/>
    <w:rsid w:val="00FD1FAD"/>
    <w:rsid w:val="00FD397A"/>
    <w:rsid w:val="00FD4656"/>
    <w:rsid w:val="00FD4874"/>
    <w:rsid w:val="00FD6209"/>
    <w:rsid w:val="00FD7292"/>
    <w:rsid w:val="00FE079C"/>
    <w:rsid w:val="00FE1654"/>
    <w:rsid w:val="00FE177A"/>
    <w:rsid w:val="00FE1B46"/>
    <w:rsid w:val="00FE2AB0"/>
    <w:rsid w:val="00FE5207"/>
    <w:rsid w:val="00FE54ED"/>
    <w:rsid w:val="00FE5EC2"/>
    <w:rsid w:val="00FE6779"/>
    <w:rsid w:val="00FE7DF6"/>
    <w:rsid w:val="00FF42F6"/>
    <w:rsid w:val="00FF5073"/>
    <w:rsid w:val="00FF521A"/>
    <w:rsid w:val="06D47CE6"/>
    <w:rsid w:val="0A685546"/>
    <w:rsid w:val="0FDD6CAC"/>
    <w:rsid w:val="16ED554C"/>
    <w:rsid w:val="1D854AC1"/>
    <w:rsid w:val="211A49AB"/>
    <w:rsid w:val="264A1C28"/>
    <w:rsid w:val="265A544E"/>
    <w:rsid w:val="271B29BE"/>
    <w:rsid w:val="314F22BF"/>
    <w:rsid w:val="34443ECE"/>
    <w:rsid w:val="408245A1"/>
    <w:rsid w:val="473167FE"/>
    <w:rsid w:val="4BFC7DA2"/>
    <w:rsid w:val="4E1359B4"/>
    <w:rsid w:val="51072944"/>
    <w:rsid w:val="5E393B41"/>
    <w:rsid w:val="5E456CB4"/>
    <w:rsid w:val="5E956138"/>
    <w:rsid w:val="63DB0145"/>
    <w:rsid w:val="647E1619"/>
    <w:rsid w:val="73FF724F"/>
    <w:rsid w:val="78AC7821"/>
    <w:rsid w:val="7DC827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widowControl/>
      <w:numPr>
        <w:ilvl w:val="0"/>
        <w:numId w:val="1"/>
      </w:numPr>
      <w:spacing w:before="240" w:after="240"/>
      <w:jc w:val="left"/>
      <w:outlineLvl w:val="0"/>
    </w:pPr>
    <w:rPr>
      <w:b/>
      <w:kern w:val="44"/>
      <w:sz w:val="28"/>
    </w:rPr>
  </w:style>
  <w:style w:type="paragraph" w:styleId="3">
    <w:name w:val="heading 2"/>
    <w:basedOn w:val="1"/>
    <w:next w:val="4"/>
    <w:link w:val="206"/>
    <w:qFormat/>
    <w:uiPriority w:val="0"/>
    <w:pPr>
      <w:keepNext/>
      <w:keepLines/>
      <w:numPr>
        <w:ilvl w:val="1"/>
        <w:numId w:val="1"/>
      </w:numPr>
      <w:tabs>
        <w:tab w:val="left" w:pos="360"/>
      </w:tabs>
      <w:spacing w:before="260" w:after="260" w:line="413" w:lineRule="auto"/>
      <w:outlineLvl w:val="1"/>
    </w:pPr>
    <w:rPr>
      <w:rFonts w:ascii="Arial" w:hAnsi="Arial" w:eastAsia="黑体"/>
      <w:b/>
      <w:sz w:val="32"/>
      <w:lang w:val="zh-CN"/>
    </w:rPr>
  </w:style>
  <w:style w:type="paragraph" w:styleId="5">
    <w:name w:val="heading 3"/>
    <w:basedOn w:val="1"/>
    <w:next w:val="1"/>
    <w:link w:val="73"/>
    <w:qFormat/>
    <w:uiPriority w:val="0"/>
    <w:pPr>
      <w:keepNext/>
      <w:keepLines/>
      <w:numPr>
        <w:ilvl w:val="2"/>
        <w:numId w:val="1"/>
      </w:numPr>
      <w:tabs>
        <w:tab w:val="left" w:pos="720"/>
      </w:tabs>
      <w:spacing w:before="260" w:after="260" w:line="413" w:lineRule="auto"/>
      <w:outlineLvl w:val="2"/>
    </w:pPr>
    <w:rPr>
      <w:b/>
      <w:bCs/>
      <w:sz w:val="32"/>
      <w:szCs w:val="32"/>
    </w:rPr>
  </w:style>
  <w:style w:type="paragraph" w:styleId="6">
    <w:name w:val="heading 4"/>
    <w:basedOn w:val="5"/>
    <w:next w:val="1"/>
    <w:qFormat/>
    <w:uiPriority w:val="0"/>
    <w:pPr>
      <w:numPr>
        <w:ilvl w:val="3"/>
      </w:numPr>
      <w:tabs>
        <w:tab w:val="left" w:pos="864"/>
        <w:tab w:val="clear" w:pos="720"/>
      </w:tabs>
      <w:spacing w:before="20" w:after="20" w:line="360" w:lineRule="auto"/>
      <w:outlineLvl w:val="3"/>
    </w:pPr>
    <w:rPr>
      <w:rFonts w:ascii="黑体" w:cs="Arial"/>
      <w:b w:val="0"/>
      <w:bCs w:val="0"/>
      <w:sz w:val="21"/>
      <w:szCs w:val="24"/>
    </w:rPr>
  </w:style>
  <w:style w:type="paragraph" w:styleId="7">
    <w:name w:val="heading 5"/>
    <w:basedOn w:val="1"/>
    <w:next w:val="1"/>
    <w:qFormat/>
    <w:uiPriority w:val="0"/>
    <w:pPr>
      <w:keepNext/>
      <w:keepLines/>
      <w:numPr>
        <w:ilvl w:val="4"/>
        <w:numId w:val="1"/>
      </w:numPr>
      <w:tabs>
        <w:tab w:val="left" w:pos="1008"/>
      </w:tabs>
      <w:topLinePunct/>
      <w:adjustRightInd w:val="0"/>
      <w:snapToGrid w:val="0"/>
      <w:spacing w:line="480" w:lineRule="atLeast"/>
      <w:textAlignment w:val="center"/>
      <w:outlineLvl w:val="4"/>
    </w:pPr>
    <w:rPr>
      <w:rFonts w:ascii="黑体" w:eastAsia="黑体"/>
      <w:b/>
      <w:bCs/>
      <w:sz w:val="24"/>
      <w:szCs w:val="24"/>
    </w:rPr>
  </w:style>
  <w:style w:type="paragraph" w:styleId="8">
    <w:name w:val="heading 6"/>
    <w:basedOn w:val="1"/>
    <w:next w:val="1"/>
    <w:qFormat/>
    <w:uiPriority w:val="0"/>
    <w:pPr>
      <w:keepNext/>
      <w:keepLines/>
      <w:numPr>
        <w:ilvl w:val="5"/>
        <w:numId w:val="1"/>
      </w:numPr>
      <w:tabs>
        <w:tab w:val="left" w:pos="1152"/>
      </w:tabs>
      <w:adjustRightInd w:val="0"/>
      <w:spacing w:before="240" w:after="64" w:line="320" w:lineRule="atLeast"/>
      <w:textAlignment w:val="baseline"/>
      <w:outlineLvl w:val="5"/>
    </w:pPr>
    <w:rPr>
      <w:rFonts w:ascii="Arial" w:hAnsi="Arial" w:eastAsia="黑体"/>
      <w:b/>
      <w:kern w:val="0"/>
      <w:sz w:val="24"/>
    </w:rPr>
  </w:style>
  <w:style w:type="paragraph" w:styleId="9">
    <w:name w:val="heading 7"/>
    <w:basedOn w:val="1"/>
    <w:next w:val="1"/>
    <w:qFormat/>
    <w:uiPriority w:val="0"/>
    <w:pPr>
      <w:keepNext/>
      <w:keepLines/>
      <w:numPr>
        <w:ilvl w:val="6"/>
        <w:numId w:val="1"/>
      </w:numPr>
      <w:tabs>
        <w:tab w:val="left" w:pos="1296"/>
      </w:tabs>
      <w:adjustRightInd w:val="0"/>
      <w:spacing w:before="240" w:after="64" w:line="320" w:lineRule="atLeast"/>
      <w:textAlignment w:val="baseline"/>
      <w:outlineLvl w:val="6"/>
    </w:pPr>
    <w:rPr>
      <w:b/>
      <w:kern w:val="0"/>
      <w:sz w:val="24"/>
    </w:rPr>
  </w:style>
  <w:style w:type="paragraph" w:styleId="10">
    <w:name w:val="heading 8"/>
    <w:basedOn w:val="1"/>
    <w:next w:val="1"/>
    <w:qFormat/>
    <w:uiPriority w:val="0"/>
    <w:pPr>
      <w:keepNext/>
      <w:keepLines/>
      <w:numPr>
        <w:ilvl w:val="7"/>
        <w:numId w:val="1"/>
      </w:numPr>
      <w:tabs>
        <w:tab w:val="left" w:pos="1440"/>
      </w:tabs>
      <w:adjustRightInd w:val="0"/>
      <w:spacing w:before="240" w:after="64" w:line="320" w:lineRule="atLeast"/>
      <w:textAlignment w:val="baseline"/>
      <w:outlineLvl w:val="7"/>
    </w:pPr>
    <w:rPr>
      <w:rFonts w:ascii="Arial" w:hAnsi="Arial" w:eastAsia="黑体"/>
      <w:kern w:val="0"/>
      <w:sz w:val="24"/>
    </w:rPr>
  </w:style>
  <w:style w:type="paragraph" w:styleId="11">
    <w:name w:val="heading 9"/>
    <w:basedOn w:val="1"/>
    <w:next w:val="1"/>
    <w:qFormat/>
    <w:uiPriority w:val="0"/>
    <w:pPr>
      <w:keepNext/>
      <w:keepLines/>
      <w:numPr>
        <w:ilvl w:val="8"/>
        <w:numId w:val="1"/>
      </w:numPr>
      <w:tabs>
        <w:tab w:val="left" w:pos="1584"/>
      </w:tabs>
      <w:adjustRightInd w:val="0"/>
      <w:spacing w:before="240" w:after="64" w:line="320" w:lineRule="atLeast"/>
      <w:textAlignment w:val="baseline"/>
      <w:outlineLvl w:val="8"/>
    </w:pPr>
    <w:rPr>
      <w:rFonts w:ascii="Arial" w:hAnsi="Arial" w:eastAsia="黑体"/>
      <w:kern w:val="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0"/>
    <w:qFormat/>
    <w:uiPriority w:val="0"/>
    <w:pPr>
      <w:ind w:firstLine="420" w:firstLineChars="200"/>
    </w:pPr>
  </w:style>
  <w:style w:type="paragraph" w:styleId="12">
    <w:name w:val="toc 7"/>
    <w:basedOn w:val="1"/>
    <w:next w:val="1"/>
    <w:qFormat/>
    <w:uiPriority w:val="39"/>
    <w:pPr>
      <w:ind w:left="1260"/>
      <w:jc w:val="left"/>
    </w:pPr>
    <w:rPr>
      <w:rFonts w:ascii="Calibri" w:hAnsi="Calibri"/>
      <w:sz w:val="18"/>
      <w:szCs w:val="18"/>
    </w:rPr>
  </w:style>
  <w:style w:type="paragraph" w:styleId="13">
    <w:name w:val="List Number"/>
    <w:basedOn w:val="14"/>
    <w:qFormat/>
    <w:uiPriority w:val="0"/>
    <w:pPr>
      <w:widowControl/>
      <w:spacing w:after="100"/>
      <w:ind w:left="360" w:hanging="360" w:firstLineChars="0"/>
    </w:pPr>
    <w:rPr>
      <w:rFonts w:ascii="Arial" w:hAnsi="Arial"/>
      <w:spacing w:val="8"/>
      <w:kern w:val="0"/>
      <w:sz w:val="20"/>
      <w:szCs w:val="20"/>
      <w:lang w:val="en-GB" w:eastAsia="en-US"/>
    </w:rPr>
  </w:style>
  <w:style w:type="paragraph" w:styleId="14">
    <w:name w:val="List"/>
    <w:basedOn w:val="1"/>
    <w:qFormat/>
    <w:uiPriority w:val="0"/>
    <w:pPr>
      <w:ind w:left="200" w:hanging="200" w:hangingChars="200"/>
    </w:pPr>
    <w:rPr>
      <w:szCs w:val="24"/>
    </w:rPr>
  </w:style>
  <w:style w:type="paragraph" w:styleId="15">
    <w:name w:val="caption"/>
    <w:basedOn w:val="1"/>
    <w:next w:val="1"/>
    <w:link w:val="223"/>
    <w:qFormat/>
    <w:uiPriority w:val="0"/>
    <w:rPr>
      <w:rFonts w:ascii="Cambria" w:hAnsi="Cambria" w:eastAsia="黑体"/>
      <w:sz w:val="20"/>
    </w:rPr>
  </w:style>
  <w:style w:type="paragraph" w:styleId="16">
    <w:name w:val="List Bullet"/>
    <w:basedOn w:val="1"/>
    <w:qFormat/>
    <w:uiPriority w:val="0"/>
    <w:pPr>
      <w:widowControl/>
      <w:numPr>
        <w:ilvl w:val="2"/>
        <w:numId w:val="2"/>
      </w:numPr>
      <w:tabs>
        <w:tab w:val="left" w:pos="345"/>
      </w:tabs>
      <w:ind w:left="345" w:hanging="345"/>
      <w:jc w:val="left"/>
    </w:pPr>
    <w:rPr>
      <w:rFonts w:ascii="Arial" w:hAnsi="Arial"/>
      <w:kern w:val="0"/>
      <w:sz w:val="20"/>
      <w:lang w:val="de-DE" w:eastAsia="en-US"/>
    </w:rPr>
  </w:style>
  <w:style w:type="paragraph" w:styleId="17">
    <w:name w:val="Document Map"/>
    <w:basedOn w:val="1"/>
    <w:qFormat/>
    <w:uiPriority w:val="0"/>
    <w:pPr>
      <w:shd w:val="clear" w:color="auto" w:fill="000080"/>
    </w:pPr>
    <w:rPr>
      <w:szCs w:val="24"/>
    </w:rPr>
  </w:style>
  <w:style w:type="paragraph" w:styleId="18">
    <w:name w:val="annotation text"/>
    <w:basedOn w:val="1"/>
    <w:link w:val="74"/>
    <w:qFormat/>
    <w:uiPriority w:val="0"/>
    <w:pPr>
      <w:jc w:val="left"/>
    </w:pPr>
    <w:rPr>
      <w:szCs w:val="24"/>
    </w:rPr>
  </w:style>
  <w:style w:type="paragraph" w:styleId="19">
    <w:name w:val="Body Text 3"/>
    <w:basedOn w:val="1"/>
    <w:link w:val="183"/>
    <w:qFormat/>
    <w:uiPriority w:val="0"/>
    <w:pPr>
      <w:widowControl/>
      <w:spacing w:line="288" w:lineRule="auto"/>
      <w:jc w:val="center"/>
    </w:pPr>
    <w:rPr>
      <w:rFonts w:ascii="Arial" w:hAnsi="Arial"/>
      <w:kern w:val="0"/>
      <w:sz w:val="20"/>
      <w:lang w:val="en-GB" w:eastAsia="en-US"/>
    </w:rPr>
  </w:style>
  <w:style w:type="paragraph" w:styleId="20">
    <w:name w:val="Body Text"/>
    <w:basedOn w:val="1"/>
    <w:link w:val="177"/>
    <w:qFormat/>
    <w:uiPriority w:val="0"/>
    <w:rPr>
      <w:sz w:val="24"/>
      <w:szCs w:val="24"/>
      <w:lang w:val="zh-CN"/>
    </w:rPr>
  </w:style>
  <w:style w:type="paragraph" w:styleId="21">
    <w:name w:val="Body Text Indent"/>
    <w:basedOn w:val="1"/>
    <w:uiPriority w:val="0"/>
    <w:pPr>
      <w:ind w:firstLine="560" w:firstLineChars="200"/>
    </w:pPr>
    <w:rPr>
      <w:rFonts w:ascii="Verdana" w:hAnsi="Verdana"/>
      <w:sz w:val="28"/>
    </w:rPr>
  </w:style>
  <w:style w:type="paragraph" w:styleId="22">
    <w:name w:val="Block Text"/>
    <w:basedOn w:val="1"/>
    <w:qFormat/>
    <w:uiPriority w:val="0"/>
    <w:pPr>
      <w:widowControl/>
      <w:tabs>
        <w:tab w:val="left" w:pos="288"/>
        <w:tab w:val="left" w:pos="578"/>
      </w:tabs>
      <w:spacing w:line="286" w:lineRule="auto"/>
      <w:ind w:left="288" w:right="-1"/>
      <w:jc w:val="left"/>
    </w:pPr>
    <w:rPr>
      <w:rFonts w:ascii="Arial" w:hAnsi="Arial"/>
      <w:kern w:val="0"/>
      <w:sz w:val="20"/>
      <w:lang w:val="nl-NL" w:eastAsia="en-US"/>
    </w:rPr>
  </w:style>
  <w:style w:type="paragraph" w:styleId="23">
    <w:name w:val="HTML Address"/>
    <w:basedOn w:val="1"/>
    <w:link w:val="81"/>
    <w:qFormat/>
    <w:uiPriority w:val="0"/>
    <w:rPr>
      <w:i/>
      <w:iCs/>
      <w:szCs w:val="24"/>
      <w:lang w:val="zh-CN"/>
    </w:rPr>
  </w:style>
  <w:style w:type="paragraph" w:styleId="24">
    <w:name w:val="index 4"/>
    <w:basedOn w:val="1"/>
    <w:next w:val="1"/>
    <w:qFormat/>
    <w:uiPriority w:val="0"/>
    <w:pPr>
      <w:keepNext/>
      <w:widowControl/>
      <w:tabs>
        <w:tab w:val="decimal" w:pos="453"/>
        <w:tab w:val="left" w:pos="1077"/>
        <w:tab w:val="left" w:pos="1326"/>
        <w:tab w:val="right" w:leader="dot" w:pos="4175"/>
        <w:tab w:val="left" w:pos="7920"/>
      </w:tabs>
      <w:spacing w:after="58"/>
    </w:pPr>
    <w:rPr>
      <w:rFonts w:ascii="Arial" w:hAnsi="Arial"/>
      <w:spacing w:val="8"/>
      <w:kern w:val="0"/>
      <w:sz w:val="16"/>
    </w:rPr>
  </w:style>
  <w:style w:type="paragraph" w:styleId="25">
    <w:name w:val="toc 5"/>
    <w:basedOn w:val="1"/>
    <w:next w:val="1"/>
    <w:qFormat/>
    <w:uiPriority w:val="39"/>
    <w:pPr>
      <w:ind w:left="840"/>
      <w:jc w:val="left"/>
    </w:pPr>
    <w:rPr>
      <w:rFonts w:ascii="Calibri" w:hAnsi="Calibri"/>
      <w:sz w:val="18"/>
      <w:szCs w:val="18"/>
    </w:rPr>
  </w:style>
  <w:style w:type="paragraph" w:styleId="26">
    <w:name w:val="toc 3"/>
    <w:basedOn w:val="1"/>
    <w:next w:val="1"/>
    <w:qFormat/>
    <w:uiPriority w:val="39"/>
    <w:pPr>
      <w:ind w:left="420"/>
      <w:jc w:val="left"/>
    </w:pPr>
    <w:rPr>
      <w:rFonts w:ascii="Calibri" w:hAnsi="Calibri"/>
      <w:i/>
      <w:iCs/>
      <w:sz w:val="20"/>
    </w:rPr>
  </w:style>
  <w:style w:type="paragraph" w:styleId="27">
    <w:name w:val="Plain Text"/>
    <w:basedOn w:val="1"/>
    <w:link w:val="168"/>
    <w:qFormat/>
    <w:uiPriority w:val="0"/>
    <w:rPr>
      <w:rFonts w:ascii="宋体" w:hAnsi="Courier New"/>
      <w:szCs w:val="21"/>
      <w:lang w:val="zh-CN"/>
    </w:rPr>
  </w:style>
  <w:style w:type="paragraph" w:styleId="28">
    <w:name w:val="toc 8"/>
    <w:basedOn w:val="1"/>
    <w:next w:val="1"/>
    <w:qFormat/>
    <w:uiPriority w:val="39"/>
    <w:pPr>
      <w:ind w:left="1470"/>
      <w:jc w:val="left"/>
    </w:pPr>
    <w:rPr>
      <w:rFonts w:ascii="Calibri" w:hAnsi="Calibri"/>
      <w:sz w:val="18"/>
      <w:szCs w:val="18"/>
    </w:rPr>
  </w:style>
  <w:style w:type="paragraph" w:styleId="29">
    <w:name w:val="Date"/>
    <w:basedOn w:val="1"/>
    <w:next w:val="1"/>
    <w:qFormat/>
    <w:uiPriority w:val="0"/>
    <w:rPr>
      <w:rFonts w:ascii="宋体"/>
      <w:sz w:val="24"/>
    </w:rPr>
  </w:style>
  <w:style w:type="paragraph" w:styleId="30">
    <w:name w:val="Body Text Indent 2"/>
    <w:basedOn w:val="1"/>
    <w:link w:val="187"/>
    <w:qFormat/>
    <w:uiPriority w:val="0"/>
    <w:pPr>
      <w:widowControl/>
      <w:spacing w:line="288" w:lineRule="auto"/>
      <w:ind w:left="720"/>
      <w:jc w:val="left"/>
    </w:pPr>
    <w:rPr>
      <w:rFonts w:ascii="Arial" w:hAnsi="Arial"/>
      <w:kern w:val="0"/>
      <w:sz w:val="20"/>
      <w:lang w:val="en-GB" w:eastAsia="en-US"/>
    </w:rPr>
  </w:style>
  <w:style w:type="paragraph" w:styleId="31">
    <w:name w:val="endnote text"/>
    <w:basedOn w:val="1"/>
    <w:link w:val="182"/>
    <w:qFormat/>
    <w:uiPriority w:val="0"/>
    <w:pPr>
      <w:widowControl/>
      <w:spacing w:line="288" w:lineRule="auto"/>
      <w:ind w:left="709" w:hanging="709"/>
      <w:jc w:val="left"/>
    </w:pPr>
    <w:rPr>
      <w:rFonts w:ascii="Arial" w:hAnsi="Arial"/>
      <w:kern w:val="0"/>
      <w:sz w:val="20"/>
      <w:lang w:val="en-GB" w:eastAsia="en-US"/>
    </w:rPr>
  </w:style>
  <w:style w:type="paragraph" w:styleId="32">
    <w:name w:val="Balloon Text"/>
    <w:basedOn w:val="1"/>
    <w:semiHidden/>
    <w:qFormat/>
    <w:uiPriority w:val="0"/>
    <w:rPr>
      <w:sz w:val="18"/>
      <w:szCs w:val="18"/>
    </w:rPr>
  </w:style>
  <w:style w:type="paragraph" w:styleId="33">
    <w:name w:val="footer"/>
    <w:basedOn w:val="1"/>
    <w:link w:val="79"/>
    <w:qFormat/>
    <w:uiPriority w:val="99"/>
    <w:pPr>
      <w:tabs>
        <w:tab w:val="center" w:pos="4153"/>
        <w:tab w:val="right" w:pos="8306"/>
      </w:tabs>
      <w:snapToGrid w:val="0"/>
      <w:jc w:val="left"/>
    </w:pPr>
    <w:rPr>
      <w:sz w:val="18"/>
      <w:lang w:val="zh-CN"/>
    </w:rPr>
  </w:style>
  <w:style w:type="paragraph" w:styleId="3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5">
    <w:name w:val="toc 1"/>
    <w:basedOn w:val="1"/>
    <w:next w:val="1"/>
    <w:qFormat/>
    <w:uiPriority w:val="39"/>
    <w:pPr>
      <w:spacing w:before="120" w:after="120"/>
      <w:jc w:val="left"/>
    </w:pPr>
    <w:rPr>
      <w:rFonts w:ascii="Calibri" w:hAnsi="Calibri"/>
      <w:b/>
      <w:bCs/>
      <w:caps/>
      <w:sz w:val="20"/>
    </w:rPr>
  </w:style>
  <w:style w:type="paragraph" w:styleId="36">
    <w:name w:val="toc 4"/>
    <w:basedOn w:val="1"/>
    <w:next w:val="1"/>
    <w:qFormat/>
    <w:uiPriority w:val="39"/>
    <w:pPr>
      <w:ind w:left="630"/>
      <w:jc w:val="left"/>
    </w:pPr>
    <w:rPr>
      <w:rFonts w:ascii="Calibri" w:hAnsi="Calibri"/>
      <w:sz w:val="18"/>
      <w:szCs w:val="18"/>
    </w:rPr>
  </w:style>
  <w:style w:type="paragraph" w:styleId="37">
    <w:name w:val="footnote text"/>
    <w:basedOn w:val="1"/>
    <w:link w:val="123"/>
    <w:qFormat/>
    <w:uiPriority w:val="0"/>
    <w:pPr>
      <w:snapToGrid w:val="0"/>
      <w:ind w:left="400" w:leftChars="200" w:hanging="200" w:hangingChars="200"/>
      <w:jc w:val="left"/>
    </w:pPr>
    <w:rPr>
      <w:sz w:val="18"/>
      <w:szCs w:val="18"/>
      <w:lang w:val="zh-CN"/>
    </w:rPr>
  </w:style>
  <w:style w:type="paragraph" w:styleId="38">
    <w:name w:val="toc 6"/>
    <w:basedOn w:val="1"/>
    <w:next w:val="1"/>
    <w:qFormat/>
    <w:uiPriority w:val="39"/>
    <w:pPr>
      <w:ind w:left="1050"/>
      <w:jc w:val="left"/>
    </w:pPr>
    <w:rPr>
      <w:rFonts w:ascii="Calibri" w:hAnsi="Calibri"/>
      <w:sz w:val="18"/>
      <w:szCs w:val="18"/>
    </w:rPr>
  </w:style>
  <w:style w:type="paragraph" w:styleId="39">
    <w:name w:val="Body Text Indent 3"/>
    <w:basedOn w:val="1"/>
    <w:qFormat/>
    <w:uiPriority w:val="0"/>
    <w:pPr>
      <w:spacing w:after="120"/>
      <w:ind w:left="420" w:leftChars="200"/>
    </w:pPr>
    <w:rPr>
      <w:sz w:val="16"/>
      <w:szCs w:val="16"/>
    </w:rPr>
  </w:style>
  <w:style w:type="paragraph" w:styleId="40">
    <w:name w:val="table of figures"/>
    <w:basedOn w:val="1"/>
    <w:next w:val="1"/>
    <w:qFormat/>
    <w:uiPriority w:val="0"/>
    <w:rPr>
      <w:szCs w:val="24"/>
    </w:rPr>
  </w:style>
  <w:style w:type="paragraph" w:styleId="41">
    <w:name w:val="toc 2"/>
    <w:basedOn w:val="1"/>
    <w:next w:val="1"/>
    <w:qFormat/>
    <w:uiPriority w:val="39"/>
    <w:pPr>
      <w:ind w:left="210"/>
      <w:jc w:val="left"/>
    </w:pPr>
    <w:rPr>
      <w:rFonts w:ascii="Calibri" w:hAnsi="Calibri"/>
      <w:smallCaps/>
      <w:sz w:val="20"/>
    </w:rPr>
  </w:style>
  <w:style w:type="paragraph" w:styleId="42">
    <w:name w:val="toc 9"/>
    <w:basedOn w:val="1"/>
    <w:next w:val="1"/>
    <w:qFormat/>
    <w:uiPriority w:val="39"/>
    <w:pPr>
      <w:ind w:left="1680"/>
      <w:jc w:val="left"/>
    </w:pPr>
    <w:rPr>
      <w:rFonts w:ascii="Calibri" w:hAnsi="Calibri"/>
      <w:sz w:val="18"/>
      <w:szCs w:val="18"/>
    </w:rPr>
  </w:style>
  <w:style w:type="paragraph" w:styleId="43">
    <w:name w:val="Body Text 2"/>
    <w:basedOn w:val="1"/>
    <w:link w:val="185"/>
    <w:qFormat/>
    <w:uiPriority w:val="0"/>
    <w:pPr>
      <w:tabs>
        <w:tab w:val="left" w:pos="288"/>
        <w:tab w:val="left" w:pos="578"/>
      </w:tabs>
      <w:spacing w:line="288" w:lineRule="auto"/>
      <w:ind w:right="3317"/>
    </w:pPr>
    <w:rPr>
      <w:rFonts w:ascii="Arial" w:hAnsi="Arial"/>
      <w:kern w:val="0"/>
      <w:sz w:val="20"/>
      <w:lang w:val="en-GB" w:eastAsia="en-US"/>
    </w:rPr>
  </w:style>
  <w:style w:type="paragraph" w:styleId="44">
    <w:name w:val="HTML Preformatted"/>
    <w:basedOn w:val="1"/>
    <w:link w:val="82"/>
    <w:qFormat/>
    <w:uiPriority w:val="0"/>
    <w:rPr>
      <w:rFonts w:ascii="Courier New" w:hAnsi="Courier New"/>
      <w:sz w:val="20"/>
      <w:lang w:val="zh-CN"/>
    </w:rPr>
  </w:style>
  <w:style w:type="paragraph" w:styleId="45">
    <w:name w:val="Title"/>
    <w:basedOn w:val="1"/>
    <w:link w:val="83"/>
    <w:qFormat/>
    <w:uiPriority w:val="0"/>
    <w:pPr>
      <w:spacing w:before="240" w:after="60"/>
      <w:jc w:val="center"/>
      <w:outlineLvl w:val="0"/>
    </w:pPr>
    <w:rPr>
      <w:rFonts w:ascii="Arial" w:hAnsi="Arial"/>
      <w:b/>
      <w:bCs/>
      <w:sz w:val="32"/>
      <w:szCs w:val="32"/>
      <w:lang w:val="zh-CN"/>
    </w:rPr>
  </w:style>
  <w:style w:type="paragraph" w:styleId="46">
    <w:name w:val="annotation subject"/>
    <w:basedOn w:val="18"/>
    <w:next w:val="18"/>
    <w:qFormat/>
    <w:uiPriority w:val="0"/>
    <w:rPr>
      <w:b/>
      <w:bCs/>
    </w:rPr>
  </w:style>
  <w:style w:type="paragraph" w:styleId="47">
    <w:name w:val="Body Text First Indent"/>
    <w:basedOn w:val="20"/>
    <w:link w:val="178"/>
    <w:qFormat/>
    <w:uiPriority w:val="0"/>
    <w:pPr>
      <w:tabs>
        <w:tab w:val="left" w:pos="720"/>
      </w:tabs>
      <w:spacing w:after="120"/>
    </w:pPr>
    <w:rPr>
      <w:rFonts w:ascii="Tahoma" w:hAnsi="Tahoma"/>
      <w:sz w:val="21"/>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endnote reference"/>
    <w:qFormat/>
    <w:uiPriority w:val="0"/>
    <w:rPr>
      <w:rFonts w:ascii="Tahoma" w:hAnsi="Tahoma" w:eastAsia="宋体"/>
      <w:b/>
      <w:i/>
      <w:kern w:val="2"/>
      <w:sz w:val="24"/>
      <w:vertAlign w:val="superscript"/>
      <w:lang w:val="en-US" w:eastAsia="zh-CN" w:bidi="ar-SA"/>
    </w:rPr>
  </w:style>
  <w:style w:type="character" w:styleId="52">
    <w:name w:val="page number"/>
    <w:qFormat/>
    <w:uiPriority w:val="0"/>
  </w:style>
  <w:style w:type="character" w:styleId="53">
    <w:name w:val="HTML Definition"/>
    <w:qFormat/>
    <w:uiPriority w:val="0"/>
    <w:rPr>
      <w:rFonts w:ascii="Tahoma" w:hAnsi="Tahoma" w:eastAsia="宋体"/>
      <w:i/>
      <w:iCs/>
      <w:kern w:val="2"/>
      <w:sz w:val="24"/>
      <w:lang w:val="en-US" w:eastAsia="zh-CN" w:bidi="ar-SA"/>
    </w:rPr>
  </w:style>
  <w:style w:type="character" w:styleId="54">
    <w:name w:val="HTML Typewriter"/>
    <w:qFormat/>
    <w:uiPriority w:val="0"/>
    <w:rPr>
      <w:rFonts w:ascii="Courier New" w:hAnsi="Courier New" w:eastAsia="宋体"/>
      <w:kern w:val="2"/>
      <w:sz w:val="20"/>
      <w:szCs w:val="20"/>
      <w:lang w:val="en-US" w:eastAsia="zh-CN" w:bidi="ar-SA"/>
    </w:rPr>
  </w:style>
  <w:style w:type="character" w:styleId="55">
    <w:name w:val="HTML Acronym"/>
    <w:qFormat/>
    <w:uiPriority w:val="0"/>
    <w:rPr>
      <w:rFonts w:ascii="Tahoma" w:hAnsi="Tahoma" w:eastAsia="宋体"/>
      <w:kern w:val="2"/>
      <w:sz w:val="24"/>
      <w:lang w:val="en-US" w:eastAsia="zh-CN" w:bidi="ar-SA"/>
    </w:rPr>
  </w:style>
  <w:style w:type="character" w:styleId="56">
    <w:name w:val="HTML Variable"/>
    <w:qFormat/>
    <w:uiPriority w:val="0"/>
    <w:rPr>
      <w:rFonts w:ascii="Tahoma" w:hAnsi="Tahoma" w:eastAsia="宋体"/>
      <w:i/>
      <w:iCs/>
      <w:kern w:val="2"/>
      <w:sz w:val="24"/>
      <w:lang w:val="en-US" w:eastAsia="zh-CN" w:bidi="ar-SA"/>
    </w:rPr>
  </w:style>
  <w:style w:type="character" w:styleId="57">
    <w:name w:val="Hyperlink"/>
    <w:qFormat/>
    <w:uiPriority w:val="99"/>
    <w:rPr>
      <w:color w:val="0000FF"/>
      <w:u w:val="single"/>
    </w:rPr>
  </w:style>
  <w:style w:type="character" w:styleId="58">
    <w:name w:val="HTML Code"/>
    <w:qFormat/>
    <w:uiPriority w:val="0"/>
    <w:rPr>
      <w:rFonts w:ascii="Courier New" w:hAnsi="Courier New" w:eastAsia="宋体"/>
      <w:kern w:val="2"/>
      <w:sz w:val="20"/>
      <w:szCs w:val="20"/>
      <w:lang w:val="en-US" w:eastAsia="zh-CN" w:bidi="ar-SA"/>
    </w:rPr>
  </w:style>
  <w:style w:type="character" w:styleId="59">
    <w:name w:val="annotation reference"/>
    <w:qFormat/>
    <w:uiPriority w:val="0"/>
    <w:rPr>
      <w:sz w:val="21"/>
      <w:szCs w:val="21"/>
    </w:rPr>
  </w:style>
  <w:style w:type="character" w:styleId="60">
    <w:name w:val="HTML Cite"/>
    <w:qFormat/>
    <w:uiPriority w:val="0"/>
    <w:rPr>
      <w:rFonts w:ascii="Tahoma" w:hAnsi="Tahoma" w:eastAsia="宋体"/>
      <w:i/>
      <w:iCs/>
      <w:kern w:val="2"/>
      <w:sz w:val="24"/>
      <w:lang w:val="en-US" w:eastAsia="zh-CN" w:bidi="ar-SA"/>
    </w:rPr>
  </w:style>
  <w:style w:type="character" w:styleId="61">
    <w:name w:val="footnote reference"/>
    <w:qFormat/>
    <w:uiPriority w:val="0"/>
    <w:rPr>
      <w:rFonts w:ascii="Tahoma" w:hAnsi="Tahoma" w:eastAsia="宋体"/>
      <w:kern w:val="2"/>
      <w:sz w:val="24"/>
      <w:vertAlign w:val="superscript"/>
      <w:lang w:val="en-US" w:eastAsia="zh-CN" w:bidi="ar-SA"/>
    </w:rPr>
  </w:style>
  <w:style w:type="character" w:styleId="62">
    <w:name w:val="HTML Keyboard"/>
    <w:qFormat/>
    <w:uiPriority w:val="0"/>
    <w:rPr>
      <w:rFonts w:ascii="Courier New" w:hAnsi="Courier New" w:eastAsia="宋体"/>
      <w:kern w:val="2"/>
      <w:sz w:val="20"/>
      <w:szCs w:val="20"/>
      <w:lang w:val="en-US" w:eastAsia="zh-CN" w:bidi="ar-SA"/>
    </w:rPr>
  </w:style>
  <w:style w:type="character" w:styleId="63">
    <w:name w:val="HTML Sample"/>
    <w:qFormat/>
    <w:uiPriority w:val="0"/>
    <w:rPr>
      <w:rFonts w:ascii="Courier New" w:hAnsi="Courier New" w:eastAsia="宋体"/>
      <w:kern w:val="2"/>
      <w:sz w:val="24"/>
      <w:lang w:val="en-US" w:eastAsia="zh-CN" w:bidi="ar-SA"/>
    </w:rPr>
  </w:style>
  <w:style w:type="paragraph" w:customStyle="1" w:styleId="64">
    <w:name w:val="pt9"/>
    <w:basedOn w:val="1"/>
    <w:qFormat/>
    <w:uiPriority w:val="0"/>
    <w:pPr>
      <w:widowControl/>
      <w:spacing w:before="100" w:beforeAutospacing="1" w:after="100" w:afterAutospacing="1"/>
      <w:jc w:val="left"/>
    </w:pPr>
    <w:rPr>
      <w:rFonts w:ascii="宋体" w:hAnsi="宋体"/>
      <w:kern w:val="0"/>
      <w:sz w:val="24"/>
    </w:rPr>
  </w:style>
  <w:style w:type="paragraph" w:customStyle="1" w:styleId="6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6">
    <w:name w:val="t141"/>
    <w:qFormat/>
    <w:uiPriority w:val="0"/>
    <w:rPr>
      <w:rFonts w:ascii="宋体" w:hAnsi="宋体" w:eastAsia="宋体"/>
      <w:sz w:val="24"/>
      <w:szCs w:val="24"/>
      <w:lang w:val="en-US" w:eastAsia="zh-CN" w:bidi="ar-SA"/>
    </w:rPr>
  </w:style>
  <w:style w:type="paragraph" w:customStyle="1" w:styleId="67">
    <w:name w:val="默认段落字体 Para Char Char Char Char"/>
    <w:basedOn w:val="1"/>
    <w:qFormat/>
    <w:uiPriority w:val="0"/>
    <w:rPr>
      <w:szCs w:val="24"/>
    </w:rPr>
  </w:style>
  <w:style w:type="paragraph" w:customStyle="1" w:styleId="68">
    <w:name w:val="Char Char Char Char"/>
    <w:basedOn w:val="1"/>
    <w:qFormat/>
    <w:uiPriority w:val="0"/>
    <w:pPr>
      <w:widowControl/>
      <w:spacing w:beforeLines="50" w:afterLines="50" w:line="360" w:lineRule="auto"/>
      <w:outlineLvl w:val="1"/>
    </w:pPr>
    <w:rPr>
      <w:rFonts w:ascii="宋体" w:hAnsi="宋体"/>
      <w:kern w:val="0"/>
      <w:szCs w:val="21"/>
    </w:rPr>
  </w:style>
  <w:style w:type="paragraph" w:customStyle="1" w:styleId="69">
    <w:name w:val="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70">
    <w:name w:val="正文缩进 Char"/>
    <w:link w:val="4"/>
    <w:qFormat/>
    <w:locked/>
    <w:uiPriority w:val="0"/>
    <w:rPr>
      <w:rFonts w:eastAsia="宋体"/>
      <w:kern w:val="2"/>
      <w:sz w:val="21"/>
      <w:lang w:val="en-US" w:eastAsia="zh-CN" w:bidi="ar-SA"/>
    </w:rPr>
  </w:style>
  <w:style w:type="paragraph" w:customStyle="1" w:styleId="71">
    <w:name w:val="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72">
    <w:name w:val="已访问的超链接1"/>
    <w:qFormat/>
    <w:uiPriority w:val="0"/>
    <w:rPr>
      <w:color w:val="800080"/>
      <w:u w:val="single"/>
    </w:rPr>
  </w:style>
  <w:style w:type="character" w:customStyle="1" w:styleId="73">
    <w:name w:val="标题 3 Char"/>
    <w:link w:val="5"/>
    <w:qFormat/>
    <w:locked/>
    <w:uiPriority w:val="0"/>
    <w:rPr>
      <w:b/>
      <w:bCs/>
      <w:kern w:val="2"/>
      <w:sz w:val="32"/>
      <w:szCs w:val="32"/>
    </w:rPr>
  </w:style>
  <w:style w:type="character" w:customStyle="1" w:styleId="74">
    <w:name w:val="批注文字 Char"/>
    <w:link w:val="18"/>
    <w:qFormat/>
    <w:locked/>
    <w:uiPriority w:val="0"/>
    <w:rPr>
      <w:rFonts w:eastAsia="宋体"/>
      <w:kern w:val="2"/>
      <w:sz w:val="21"/>
      <w:szCs w:val="24"/>
      <w:lang w:val="en-US" w:eastAsia="zh-CN" w:bidi="ar-SA"/>
    </w:rPr>
  </w:style>
  <w:style w:type="paragraph" w:customStyle="1" w:styleId="75">
    <w:name w:val="列出段落1"/>
    <w:basedOn w:val="1"/>
    <w:qFormat/>
    <w:uiPriority w:val="0"/>
    <w:pPr>
      <w:ind w:firstLine="420" w:firstLineChars="200"/>
    </w:pPr>
    <w:rPr>
      <w:rFonts w:ascii="Calibri" w:hAnsi="Calibri"/>
      <w:szCs w:val="22"/>
    </w:rPr>
  </w:style>
  <w:style w:type="table" w:customStyle="1" w:styleId="76">
    <w:name w:val="网格型1"/>
    <w:basedOn w:val="48"/>
    <w:qFormat/>
    <w:uiPriority w:val="0"/>
    <w:pPr>
      <w:spacing w:beforeLines="50" w:afterLines="50"/>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
    <w:name w:val="网格型11"/>
    <w:basedOn w:val="48"/>
    <w:qFormat/>
    <w:uiPriority w:val="59"/>
    <w:pPr>
      <w:spacing w:beforeLines="50" w:afterLines="50"/>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8">
    <w:name w:val="Char Char Char Char Char Char Char Char Char Char Char Char Char"/>
    <w:basedOn w:val="1"/>
    <w:qFormat/>
    <w:uiPriority w:val="0"/>
    <w:rPr>
      <w:rFonts w:ascii="Tahoma" w:hAnsi="Tahoma"/>
      <w:sz w:val="24"/>
    </w:rPr>
  </w:style>
  <w:style w:type="character" w:customStyle="1" w:styleId="79">
    <w:name w:val="页脚 Char"/>
    <w:link w:val="33"/>
    <w:qFormat/>
    <w:uiPriority w:val="99"/>
    <w:rPr>
      <w:kern w:val="2"/>
      <w:sz w:val="18"/>
    </w:rPr>
  </w:style>
  <w:style w:type="paragraph" w:customStyle="1" w:styleId="80">
    <w:name w:val="列出段落2"/>
    <w:basedOn w:val="1"/>
    <w:qFormat/>
    <w:uiPriority w:val="34"/>
    <w:pPr>
      <w:ind w:firstLine="420" w:firstLineChars="200"/>
    </w:pPr>
    <w:rPr>
      <w:rFonts w:ascii="Calibri" w:hAnsi="Calibri"/>
      <w:szCs w:val="22"/>
    </w:rPr>
  </w:style>
  <w:style w:type="character" w:customStyle="1" w:styleId="81">
    <w:name w:val="HTML 地址 Char"/>
    <w:link w:val="23"/>
    <w:qFormat/>
    <w:uiPriority w:val="0"/>
    <w:rPr>
      <w:i/>
      <w:iCs/>
      <w:kern w:val="2"/>
      <w:sz w:val="21"/>
      <w:szCs w:val="24"/>
    </w:rPr>
  </w:style>
  <w:style w:type="character" w:customStyle="1" w:styleId="82">
    <w:name w:val="HTML 预设格式 Char"/>
    <w:link w:val="44"/>
    <w:qFormat/>
    <w:uiPriority w:val="0"/>
    <w:rPr>
      <w:rFonts w:ascii="Courier New" w:hAnsi="Courier New" w:cs="Courier New"/>
      <w:kern w:val="2"/>
    </w:rPr>
  </w:style>
  <w:style w:type="character" w:customStyle="1" w:styleId="83">
    <w:name w:val="标题 Char"/>
    <w:link w:val="45"/>
    <w:qFormat/>
    <w:uiPriority w:val="0"/>
    <w:rPr>
      <w:rFonts w:ascii="Arial" w:hAnsi="Arial" w:cs="Arial"/>
      <w:b/>
      <w:bCs/>
      <w:kern w:val="2"/>
      <w:sz w:val="32"/>
      <w:szCs w:val="32"/>
    </w:rPr>
  </w:style>
  <w:style w:type="paragraph" w:customStyle="1" w:styleId="8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9">
    <w:name w:val="标准书眉_偶数页"/>
    <w:basedOn w:val="88"/>
    <w:next w:val="1"/>
    <w:qFormat/>
    <w:uiPriority w:val="0"/>
    <w:pPr>
      <w:jc w:val="left"/>
    </w:pPr>
  </w:style>
  <w:style w:type="paragraph" w:customStyle="1" w:styleId="90">
    <w:name w:val="标准书眉一"/>
    <w:qFormat/>
    <w:uiPriority w:val="0"/>
    <w:pPr>
      <w:jc w:val="both"/>
    </w:pPr>
    <w:rPr>
      <w:rFonts w:ascii="Times New Roman" w:hAnsi="Times New Roman" w:eastAsia="宋体" w:cs="Times New Roman"/>
      <w:lang w:val="en-US" w:eastAsia="zh-CN" w:bidi="ar-SA"/>
    </w:rPr>
  </w:style>
  <w:style w:type="paragraph" w:customStyle="1" w:styleId="91">
    <w:name w:val="前言、引言标题"/>
    <w:next w:val="1"/>
    <w:qFormat/>
    <w:uiPriority w:val="0"/>
    <w:pPr>
      <w:shd w:val="clear" w:color="FFFFFF" w:fill="FFFFFF"/>
      <w:spacing w:before="640" w:after="560"/>
      <w:jc w:val="center"/>
      <w:outlineLvl w:val="0"/>
    </w:pPr>
    <w:rPr>
      <w:rFonts w:ascii="黑体" w:hAnsi="Times New Roman" w:eastAsia="黑体" w:cs="Times New Roman"/>
      <w:b/>
      <w:sz w:val="32"/>
      <w:lang w:val="en-US" w:eastAsia="zh-CN" w:bidi="ar-SA"/>
    </w:rPr>
  </w:style>
  <w:style w:type="paragraph" w:customStyle="1" w:styleId="92">
    <w:name w:val="参考文献、索引标题"/>
    <w:basedOn w:val="91"/>
    <w:next w:val="1"/>
    <w:qFormat/>
    <w:uiPriority w:val="0"/>
    <w:pPr>
      <w:spacing w:after="200"/>
    </w:pPr>
    <w:rPr>
      <w:sz w:val="21"/>
    </w:rPr>
  </w:style>
  <w:style w:type="paragraph" w:customStyle="1" w:styleId="93">
    <w:name w:val="段"/>
    <w:link w:val="215"/>
    <w:qFormat/>
    <w:uiPriority w:val="0"/>
    <w:pPr>
      <w:ind w:firstLine="200" w:firstLineChars="200"/>
      <w:jc w:val="both"/>
    </w:pPr>
    <w:rPr>
      <w:rFonts w:ascii="宋体" w:hAnsi="Times New Roman" w:eastAsia="宋体" w:cs="Times New Roman"/>
      <w:sz w:val="21"/>
      <w:lang w:val="en-US" w:eastAsia="zh-CN" w:bidi="ar-SA"/>
    </w:rPr>
  </w:style>
  <w:style w:type="paragraph" w:customStyle="1" w:styleId="94">
    <w:name w:val="章标题"/>
    <w:next w:val="93"/>
    <w:link w:val="179"/>
    <w:qFormat/>
    <w:uiPriority w:val="0"/>
    <w:pPr>
      <w:numPr>
        <w:ilvl w:val="1"/>
        <w:numId w:val="3"/>
      </w:numPr>
      <w:tabs>
        <w:tab w:val="left" w:pos="420"/>
      </w:tabs>
      <w:spacing w:beforeLines="50" w:afterLines="50"/>
      <w:jc w:val="both"/>
      <w:outlineLvl w:val="1"/>
    </w:pPr>
    <w:rPr>
      <w:rFonts w:ascii="黑体" w:hAnsi="Times New Roman" w:eastAsia="黑体" w:cs="Times New Roman"/>
      <w:b/>
      <w:sz w:val="21"/>
      <w:lang w:val="en-US" w:eastAsia="zh-CN" w:bidi="ar-SA"/>
    </w:rPr>
  </w:style>
  <w:style w:type="paragraph" w:customStyle="1" w:styleId="95">
    <w:name w:val="一级条标题"/>
    <w:basedOn w:val="94"/>
    <w:next w:val="93"/>
    <w:link w:val="180"/>
    <w:qFormat/>
    <w:uiPriority w:val="0"/>
    <w:pPr>
      <w:numPr>
        <w:ilvl w:val="2"/>
      </w:numPr>
      <w:tabs>
        <w:tab w:val="left" w:pos="525"/>
        <w:tab w:val="clear" w:pos="420"/>
      </w:tabs>
      <w:spacing w:beforeLines="0" w:afterLines="0"/>
      <w:outlineLvl w:val="2"/>
    </w:pPr>
    <w:rPr>
      <w:lang w:val="zh-CN"/>
    </w:rPr>
  </w:style>
  <w:style w:type="paragraph" w:customStyle="1" w:styleId="96">
    <w:name w:val="二级条标题"/>
    <w:basedOn w:val="95"/>
    <w:next w:val="93"/>
    <w:link w:val="217"/>
    <w:qFormat/>
    <w:uiPriority w:val="0"/>
    <w:pPr>
      <w:numPr>
        <w:ilvl w:val="3"/>
      </w:numPr>
      <w:tabs>
        <w:tab w:val="left" w:pos="1680"/>
        <w:tab w:val="clear" w:pos="525"/>
      </w:tabs>
      <w:ind w:left="1680" w:hanging="420"/>
      <w:outlineLvl w:val="3"/>
    </w:pPr>
  </w:style>
  <w:style w:type="paragraph" w:customStyle="1" w:styleId="97">
    <w:name w:val="二级无标题条"/>
    <w:basedOn w:val="1"/>
    <w:qFormat/>
    <w:uiPriority w:val="0"/>
    <w:pPr>
      <w:numPr>
        <w:ilvl w:val="3"/>
        <w:numId w:val="4"/>
      </w:numPr>
    </w:pPr>
    <w:rPr>
      <w:b/>
      <w:szCs w:val="24"/>
    </w:rPr>
  </w:style>
  <w:style w:type="character" w:customStyle="1" w:styleId="98">
    <w:name w:val="发布"/>
    <w:qFormat/>
    <w:uiPriority w:val="0"/>
    <w:rPr>
      <w:rFonts w:ascii="黑体" w:hAnsi="Tahoma" w:eastAsia="黑体"/>
      <w:spacing w:val="22"/>
      <w:w w:val="100"/>
      <w:kern w:val="2"/>
      <w:position w:val="3"/>
      <w:sz w:val="28"/>
      <w:lang w:val="en-US" w:eastAsia="zh-CN" w:bidi="ar-SA"/>
    </w:rPr>
  </w:style>
  <w:style w:type="paragraph" w:customStyle="1" w:styleId="99">
    <w:name w:val="发布部门"/>
    <w:next w:val="93"/>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0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2">
    <w:name w:val="封面标准号2"/>
    <w:basedOn w:val="101"/>
    <w:qFormat/>
    <w:uiPriority w:val="0"/>
    <w:pPr>
      <w:framePr w:w="9138" w:h="1244" w:hRule="exact" w:wrap="around" w:vAnchor="page" w:hAnchor="margin" w:y="2908"/>
      <w:adjustRightInd w:val="0"/>
      <w:spacing w:before="357" w:line="280" w:lineRule="exact"/>
    </w:pPr>
  </w:style>
  <w:style w:type="paragraph" w:customStyle="1" w:styleId="103">
    <w:name w:val="封面标准代替信息"/>
    <w:basedOn w:val="102"/>
    <w:qFormat/>
    <w:uiPriority w:val="0"/>
    <w:pPr>
      <w:spacing w:before="57"/>
    </w:pPr>
    <w:rPr>
      <w:rFonts w:ascii="宋体"/>
      <w:sz w:val="21"/>
    </w:rPr>
  </w:style>
  <w:style w:type="paragraph" w:customStyle="1" w:styleId="10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0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08">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09">
    <w:name w:val="封面正文"/>
    <w:qFormat/>
    <w:uiPriority w:val="0"/>
    <w:pPr>
      <w:jc w:val="both"/>
    </w:pPr>
    <w:rPr>
      <w:rFonts w:ascii="Times New Roman" w:hAnsi="Times New Roman" w:eastAsia="宋体" w:cs="Times New Roman"/>
      <w:lang w:val="en-US" w:eastAsia="zh-CN" w:bidi="ar-SA"/>
    </w:rPr>
  </w:style>
  <w:style w:type="paragraph" w:customStyle="1" w:styleId="110">
    <w:name w:val="附录标识"/>
    <w:basedOn w:val="91"/>
    <w:next w:val="93"/>
    <w:qFormat/>
    <w:uiPriority w:val="0"/>
    <w:pPr>
      <w:numPr>
        <w:ilvl w:val="0"/>
        <w:numId w:val="5"/>
      </w:numPr>
      <w:spacing w:after="200"/>
    </w:pPr>
    <w:rPr>
      <w:sz w:val="21"/>
    </w:rPr>
  </w:style>
  <w:style w:type="paragraph" w:customStyle="1" w:styleId="111">
    <w:name w:val="附录表标题"/>
    <w:basedOn w:val="112"/>
    <w:next w:val="93"/>
    <w:qFormat/>
    <w:uiPriority w:val="0"/>
    <w:pPr>
      <w:numPr>
        <w:ilvl w:val="0"/>
        <w:numId w:val="6"/>
      </w:numPr>
      <w:tabs>
        <w:tab w:val="left" w:pos="210"/>
        <w:tab w:val="left" w:pos="420"/>
        <w:tab w:val="clear" w:pos="360"/>
      </w:tabs>
      <w:textAlignment w:val="baseline"/>
    </w:pPr>
    <w:rPr>
      <w:rFonts w:ascii="宋体" w:eastAsia="宋体"/>
      <w:kern w:val="21"/>
    </w:rPr>
  </w:style>
  <w:style w:type="paragraph" w:customStyle="1" w:styleId="112">
    <w:name w:val="正文表标题"/>
    <w:next w:val="93"/>
    <w:qFormat/>
    <w:uiPriority w:val="0"/>
    <w:pPr>
      <w:numPr>
        <w:ilvl w:val="1"/>
        <w:numId w:val="7"/>
      </w:numPr>
      <w:tabs>
        <w:tab w:val="left" w:pos="420"/>
        <w:tab w:val="clear" w:pos="360"/>
      </w:tabs>
      <w:jc w:val="center"/>
    </w:pPr>
    <w:rPr>
      <w:rFonts w:ascii="黑体" w:hAnsi="Times New Roman" w:eastAsia="黑体" w:cs="Times New Roman"/>
      <w:b/>
      <w:sz w:val="21"/>
      <w:lang w:val="en-US" w:eastAsia="zh-CN" w:bidi="ar-SA"/>
    </w:rPr>
  </w:style>
  <w:style w:type="paragraph" w:customStyle="1" w:styleId="113">
    <w:name w:val="附录章标题"/>
    <w:next w:val="93"/>
    <w:qFormat/>
    <w:uiPriority w:val="0"/>
    <w:pPr>
      <w:numPr>
        <w:ilvl w:val="1"/>
        <w:numId w:val="5"/>
      </w:numPr>
      <w:wordWrap w:val="0"/>
      <w:overflowPunct w:val="0"/>
      <w:autoSpaceDE w:val="0"/>
      <w:spacing w:beforeLines="50" w:afterLines="50"/>
      <w:jc w:val="both"/>
      <w:textAlignment w:val="baseline"/>
      <w:outlineLvl w:val="1"/>
    </w:pPr>
    <w:rPr>
      <w:rFonts w:ascii="黑体" w:hAnsi="Times New Roman" w:eastAsia="黑体" w:cs="Times New Roman"/>
      <w:b/>
      <w:kern w:val="21"/>
      <w:sz w:val="21"/>
      <w:lang w:val="en-US" w:eastAsia="zh-CN" w:bidi="ar-SA"/>
    </w:rPr>
  </w:style>
  <w:style w:type="paragraph" w:customStyle="1" w:styleId="114">
    <w:name w:val="附录一级条标题"/>
    <w:basedOn w:val="113"/>
    <w:next w:val="93"/>
    <w:qFormat/>
    <w:uiPriority w:val="0"/>
    <w:pPr>
      <w:numPr>
        <w:ilvl w:val="2"/>
      </w:numPr>
      <w:autoSpaceDN w:val="0"/>
      <w:spacing w:beforeLines="0" w:afterLines="0"/>
      <w:outlineLvl w:val="2"/>
    </w:pPr>
  </w:style>
  <w:style w:type="paragraph" w:customStyle="1" w:styleId="115">
    <w:name w:val="附录二级条标题"/>
    <w:basedOn w:val="114"/>
    <w:next w:val="93"/>
    <w:qFormat/>
    <w:uiPriority w:val="0"/>
    <w:pPr>
      <w:numPr>
        <w:ilvl w:val="3"/>
      </w:numPr>
      <w:outlineLvl w:val="3"/>
    </w:pPr>
  </w:style>
  <w:style w:type="paragraph" w:customStyle="1" w:styleId="116">
    <w:name w:val="附录三级条标题"/>
    <w:basedOn w:val="115"/>
    <w:next w:val="93"/>
    <w:qFormat/>
    <w:uiPriority w:val="0"/>
    <w:pPr>
      <w:numPr>
        <w:ilvl w:val="4"/>
      </w:numPr>
      <w:outlineLvl w:val="4"/>
    </w:pPr>
  </w:style>
  <w:style w:type="paragraph" w:customStyle="1" w:styleId="117">
    <w:name w:val="附录四级条标题"/>
    <w:basedOn w:val="116"/>
    <w:next w:val="93"/>
    <w:qFormat/>
    <w:uiPriority w:val="0"/>
    <w:pPr>
      <w:numPr>
        <w:ilvl w:val="5"/>
      </w:numPr>
      <w:outlineLvl w:val="5"/>
    </w:pPr>
  </w:style>
  <w:style w:type="paragraph" w:customStyle="1" w:styleId="118">
    <w:name w:val="附录图标题"/>
    <w:basedOn w:val="119"/>
    <w:next w:val="93"/>
    <w:qFormat/>
    <w:uiPriority w:val="0"/>
    <w:pPr>
      <w:numPr>
        <w:numId w:val="8"/>
      </w:numPr>
      <w:tabs>
        <w:tab w:val="left" w:pos="210"/>
        <w:tab w:val="left" w:pos="360"/>
        <w:tab w:val="left" w:pos="420"/>
      </w:tabs>
    </w:pPr>
  </w:style>
  <w:style w:type="paragraph" w:customStyle="1" w:styleId="119">
    <w:name w:val="正文图标题"/>
    <w:basedOn w:val="112"/>
    <w:next w:val="93"/>
    <w:qFormat/>
    <w:uiPriority w:val="0"/>
    <w:pPr>
      <w:numPr>
        <w:ilvl w:val="0"/>
        <w:numId w:val="9"/>
      </w:numPr>
      <w:tabs>
        <w:tab w:val="clear" w:pos="360"/>
      </w:tabs>
    </w:pPr>
  </w:style>
  <w:style w:type="paragraph" w:customStyle="1" w:styleId="120">
    <w:name w:val="附录五级条标题"/>
    <w:basedOn w:val="117"/>
    <w:next w:val="93"/>
    <w:qFormat/>
    <w:uiPriority w:val="0"/>
    <w:pPr>
      <w:numPr>
        <w:ilvl w:val="6"/>
      </w:numPr>
      <w:outlineLvl w:val="6"/>
    </w:pPr>
  </w:style>
  <w:style w:type="character" w:customStyle="1" w:styleId="121">
    <w:name w:val="个人答复风格"/>
    <w:qFormat/>
    <w:uiPriority w:val="0"/>
    <w:rPr>
      <w:rFonts w:ascii="Arial" w:hAnsi="Arial" w:eastAsia="宋体" w:cs="Arial"/>
      <w:color w:val="auto"/>
      <w:kern w:val="2"/>
      <w:sz w:val="20"/>
      <w:lang w:val="en-US" w:eastAsia="zh-CN" w:bidi="ar-SA"/>
    </w:rPr>
  </w:style>
  <w:style w:type="character" w:customStyle="1" w:styleId="122">
    <w:name w:val="个人撰写风格"/>
    <w:qFormat/>
    <w:uiPriority w:val="0"/>
    <w:rPr>
      <w:rFonts w:ascii="Arial" w:hAnsi="Arial" w:eastAsia="宋体" w:cs="Arial"/>
      <w:color w:val="auto"/>
      <w:kern w:val="2"/>
      <w:sz w:val="20"/>
      <w:lang w:val="en-US" w:eastAsia="zh-CN" w:bidi="ar-SA"/>
    </w:rPr>
  </w:style>
  <w:style w:type="character" w:customStyle="1" w:styleId="123">
    <w:name w:val="脚注文本 Char"/>
    <w:link w:val="37"/>
    <w:qFormat/>
    <w:uiPriority w:val="0"/>
    <w:rPr>
      <w:kern w:val="2"/>
      <w:sz w:val="18"/>
      <w:szCs w:val="18"/>
    </w:rPr>
  </w:style>
  <w:style w:type="paragraph" w:customStyle="1" w:styleId="124">
    <w:name w:val="列项——"/>
    <w:qFormat/>
    <w:uiPriority w:val="0"/>
    <w:pPr>
      <w:widowControl w:val="0"/>
      <w:numPr>
        <w:ilvl w:val="0"/>
        <w:numId w:val="10"/>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25">
    <w:name w:val="列项·"/>
    <w:qFormat/>
    <w:uiPriority w:val="0"/>
    <w:pPr>
      <w:numPr>
        <w:ilvl w:val="0"/>
        <w:numId w:val="11"/>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26">
    <w:name w:val="目次、标准名称标题"/>
    <w:basedOn w:val="91"/>
    <w:next w:val="93"/>
    <w:qFormat/>
    <w:uiPriority w:val="0"/>
    <w:pPr>
      <w:spacing w:line="460" w:lineRule="exact"/>
      <w:outlineLvl w:val="9"/>
    </w:pPr>
  </w:style>
  <w:style w:type="paragraph" w:customStyle="1" w:styleId="12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9">
    <w:name w:val="其他发布部门"/>
    <w:basedOn w:val="99"/>
    <w:qFormat/>
    <w:uiPriority w:val="0"/>
    <w:pPr>
      <w:spacing w:line="0" w:lineRule="atLeast"/>
    </w:pPr>
    <w:rPr>
      <w:rFonts w:ascii="黑体" w:eastAsia="黑体"/>
      <w:b w:val="0"/>
    </w:rPr>
  </w:style>
  <w:style w:type="paragraph" w:customStyle="1" w:styleId="130">
    <w:name w:val="三级条标题"/>
    <w:basedOn w:val="96"/>
    <w:next w:val="93"/>
    <w:link w:val="218"/>
    <w:qFormat/>
    <w:uiPriority w:val="0"/>
    <w:pPr>
      <w:numPr>
        <w:ilvl w:val="4"/>
      </w:numPr>
      <w:tabs>
        <w:tab w:val="left" w:pos="945"/>
        <w:tab w:val="left" w:pos="2100"/>
      </w:tabs>
      <w:ind w:left="2100" w:hanging="420"/>
      <w:outlineLvl w:val="4"/>
    </w:pPr>
  </w:style>
  <w:style w:type="paragraph" w:customStyle="1" w:styleId="131">
    <w:name w:val="三级无标题条"/>
    <w:basedOn w:val="1"/>
    <w:qFormat/>
    <w:uiPriority w:val="0"/>
    <w:pPr>
      <w:numPr>
        <w:ilvl w:val="4"/>
        <w:numId w:val="4"/>
      </w:numPr>
    </w:pPr>
    <w:rPr>
      <w:b/>
      <w:szCs w:val="24"/>
    </w:rPr>
  </w:style>
  <w:style w:type="paragraph" w:customStyle="1" w:styleId="132">
    <w:name w:val="实施日期"/>
    <w:basedOn w:val="100"/>
    <w:qFormat/>
    <w:uiPriority w:val="0"/>
    <w:pPr>
      <w:framePr w:hSpace="0" w:xAlign="right"/>
      <w:jc w:val="right"/>
    </w:pPr>
  </w:style>
  <w:style w:type="paragraph" w:customStyle="1" w:styleId="133">
    <w:name w:val="示例"/>
    <w:next w:val="93"/>
    <w:qFormat/>
    <w:uiPriority w:val="0"/>
    <w:pPr>
      <w:numPr>
        <w:ilvl w:val="0"/>
        <w:numId w:val="12"/>
      </w:numPr>
      <w:tabs>
        <w:tab w:val="clear" w:pos="1140"/>
      </w:tabs>
      <w:ind w:left="0" w:firstLine="200" w:firstLineChars="200"/>
      <w:jc w:val="both"/>
    </w:pPr>
    <w:rPr>
      <w:rFonts w:ascii="宋体" w:hAnsi="Times New Roman" w:eastAsia="宋体" w:cs="Times New Roman"/>
      <w:sz w:val="18"/>
      <w:lang w:val="en-US" w:eastAsia="zh-CN" w:bidi="ar-SA"/>
    </w:rPr>
  </w:style>
  <w:style w:type="paragraph" w:customStyle="1" w:styleId="134">
    <w:name w:val="数字编号列项（二级）"/>
    <w:qFormat/>
    <w:uiPriority w:val="0"/>
    <w:pPr>
      <w:numPr>
        <w:ilvl w:val="2"/>
        <w:numId w:val="13"/>
      </w:numPr>
      <w:ind w:left="400" w:leftChars="400" w:hanging="200" w:hangingChars="200"/>
      <w:jc w:val="both"/>
    </w:pPr>
    <w:rPr>
      <w:rFonts w:ascii="宋体" w:hAnsi="Times New Roman" w:eastAsia="宋体" w:cs="Times New Roman"/>
      <w:sz w:val="21"/>
      <w:lang w:val="en-US" w:eastAsia="zh-CN" w:bidi="ar-SA"/>
    </w:rPr>
  </w:style>
  <w:style w:type="paragraph" w:customStyle="1" w:styleId="135">
    <w:name w:val="四级条标题"/>
    <w:basedOn w:val="130"/>
    <w:next w:val="93"/>
    <w:qFormat/>
    <w:uiPriority w:val="0"/>
    <w:pPr>
      <w:numPr>
        <w:ilvl w:val="5"/>
      </w:numPr>
      <w:tabs>
        <w:tab w:val="left" w:pos="1155"/>
        <w:tab w:val="left" w:pos="2520"/>
        <w:tab w:val="clear" w:pos="945"/>
      </w:tabs>
      <w:ind w:left="2520" w:hanging="420"/>
      <w:outlineLvl w:val="5"/>
    </w:pPr>
  </w:style>
  <w:style w:type="paragraph" w:customStyle="1" w:styleId="136">
    <w:name w:val="四级无标题条"/>
    <w:basedOn w:val="1"/>
    <w:qFormat/>
    <w:uiPriority w:val="0"/>
    <w:pPr>
      <w:numPr>
        <w:ilvl w:val="5"/>
        <w:numId w:val="4"/>
      </w:numPr>
    </w:pPr>
    <w:rPr>
      <w:rFonts w:eastAsia="黑体"/>
      <w:b/>
      <w:szCs w:val="24"/>
    </w:rPr>
  </w:style>
  <w:style w:type="paragraph" w:customStyle="1" w:styleId="137">
    <w:name w:val="条文脚注"/>
    <w:basedOn w:val="37"/>
    <w:qFormat/>
    <w:uiPriority w:val="0"/>
    <w:pPr>
      <w:numPr>
        <w:ilvl w:val="0"/>
        <w:numId w:val="14"/>
      </w:numPr>
      <w:ind w:firstLineChars="0"/>
      <w:jc w:val="both"/>
    </w:pPr>
    <w:rPr>
      <w:rFonts w:ascii="宋体"/>
    </w:rPr>
  </w:style>
  <w:style w:type="paragraph" w:customStyle="1" w:styleId="138">
    <w:name w:val="图表脚注"/>
    <w:next w:val="93"/>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3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0">
    <w:name w:val="无标题条"/>
    <w:next w:val="93"/>
    <w:qFormat/>
    <w:uiPriority w:val="0"/>
    <w:pPr>
      <w:jc w:val="both"/>
    </w:pPr>
    <w:rPr>
      <w:rFonts w:ascii="Times New Roman" w:hAnsi="Times New Roman" w:eastAsia="宋体" w:cs="Times New Roman"/>
      <w:sz w:val="21"/>
      <w:lang w:val="en-US" w:eastAsia="zh-CN" w:bidi="ar-SA"/>
    </w:rPr>
  </w:style>
  <w:style w:type="paragraph" w:customStyle="1" w:styleId="141">
    <w:name w:val="五级条标题"/>
    <w:basedOn w:val="135"/>
    <w:next w:val="93"/>
    <w:qFormat/>
    <w:uiPriority w:val="0"/>
    <w:pPr>
      <w:numPr>
        <w:ilvl w:val="6"/>
      </w:numPr>
      <w:tabs>
        <w:tab w:val="left" w:pos="1407"/>
        <w:tab w:val="left" w:pos="2940"/>
        <w:tab w:val="clear" w:pos="1155"/>
      </w:tabs>
      <w:ind w:left="2940" w:hanging="420"/>
      <w:outlineLvl w:val="6"/>
    </w:pPr>
  </w:style>
  <w:style w:type="paragraph" w:customStyle="1" w:styleId="142">
    <w:name w:val="五级无标题条"/>
    <w:basedOn w:val="1"/>
    <w:qFormat/>
    <w:uiPriority w:val="0"/>
    <w:pPr>
      <w:numPr>
        <w:ilvl w:val="6"/>
        <w:numId w:val="4"/>
      </w:numPr>
    </w:pPr>
    <w:rPr>
      <w:rFonts w:ascii="黑体" w:eastAsia="黑体"/>
      <w:b/>
      <w:szCs w:val="24"/>
    </w:rPr>
  </w:style>
  <w:style w:type="paragraph" w:customStyle="1" w:styleId="143">
    <w:name w:val="一级无标题条"/>
    <w:basedOn w:val="1"/>
    <w:qFormat/>
    <w:uiPriority w:val="0"/>
    <w:pPr>
      <w:numPr>
        <w:ilvl w:val="2"/>
        <w:numId w:val="4"/>
      </w:numPr>
      <w:tabs>
        <w:tab w:val="left" w:pos="420"/>
      </w:tabs>
    </w:pPr>
    <w:rPr>
      <w:b/>
      <w:szCs w:val="24"/>
    </w:rPr>
  </w:style>
  <w:style w:type="paragraph" w:customStyle="1" w:styleId="144">
    <w:name w:val="注："/>
    <w:next w:val="93"/>
    <w:qFormat/>
    <w:uiPriority w:val="0"/>
    <w:pPr>
      <w:widowControl w:val="0"/>
      <w:numPr>
        <w:ilvl w:val="0"/>
        <w:numId w:val="15"/>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45">
    <w:name w:val="注×："/>
    <w:qFormat/>
    <w:uiPriority w:val="0"/>
    <w:pPr>
      <w:widowControl w:val="0"/>
      <w:numPr>
        <w:ilvl w:val="0"/>
        <w:numId w:val="16"/>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46">
    <w:name w:val="字母编号列项（一级）"/>
    <w:qFormat/>
    <w:uiPriority w:val="0"/>
    <w:pPr>
      <w:numPr>
        <w:ilvl w:val="1"/>
        <w:numId w:val="13"/>
      </w:numPr>
      <w:ind w:left="200" w:leftChars="200" w:hanging="200" w:hangingChars="200"/>
      <w:jc w:val="both"/>
    </w:pPr>
    <w:rPr>
      <w:rFonts w:ascii="宋体" w:hAnsi="Times New Roman" w:eastAsia="宋体" w:cs="Times New Roman"/>
      <w:sz w:val="21"/>
      <w:lang w:val="en-US" w:eastAsia="zh-CN" w:bidi="ar-SA"/>
    </w:rPr>
  </w:style>
  <w:style w:type="paragraph" w:customStyle="1" w:styleId="147">
    <w:name w:val="引言一级条标题"/>
    <w:basedOn w:val="1"/>
    <w:next w:val="93"/>
    <w:qFormat/>
    <w:uiPriority w:val="0"/>
    <w:pPr>
      <w:widowControl/>
      <w:numPr>
        <w:ilvl w:val="0"/>
        <w:numId w:val="17"/>
      </w:numPr>
      <w:tabs>
        <w:tab w:val="clear" w:pos="360"/>
      </w:tabs>
    </w:pPr>
    <w:rPr>
      <w:rFonts w:eastAsia="黑体"/>
      <w:b/>
      <w:szCs w:val="24"/>
    </w:rPr>
  </w:style>
  <w:style w:type="paragraph" w:customStyle="1" w:styleId="148">
    <w:name w:val="引言二级条标题"/>
    <w:basedOn w:val="147"/>
    <w:next w:val="93"/>
    <w:qFormat/>
    <w:uiPriority w:val="0"/>
    <w:pPr>
      <w:numPr>
        <w:ilvl w:val="1"/>
        <w:numId w:val="18"/>
      </w:numPr>
      <w:tabs>
        <w:tab w:val="clear" w:pos="720"/>
      </w:tabs>
    </w:pPr>
  </w:style>
  <w:style w:type="paragraph" w:customStyle="1" w:styleId="149">
    <w:name w:val="工程建设章标题"/>
    <w:next w:val="93"/>
    <w:qFormat/>
    <w:uiPriority w:val="0"/>
    <w:pPr>
      <w:numPr>
        <w:ilvl w:val="1"/>
        <w:numId w:val="19"/>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150">
    <w:name w:val="工程建设节标题"/>
    <w:basedOn w:val="149"/>
    <w:next w:val="93"/>
    <w:qFormat/>
    <w:uiPriority w:val="0"/>
    <w:pPr>
      <w:numPr>
        <w:ilvl w:val="2"/>
      </w:numPr>
      <w:spacing w:before="400" w:after="400" w:line="240" w:lineRule="auto"/>
      <w:outlineLvl w:val="2"/>
    </w:pPr>
    <w:rPr>
      <w:sz w:val="21"/>
    </w:rPr>
  </w:style>
  <w:style w:type="paragraph" w:customStyle="1" w:styleId="151">
    <w:name w:val="工程建设条标题"/>
    <w:basedOn w:val="150"/>
    <w:next w:val="93"/>
    <w:qFormat/>
    <w:uiPriority w:val="0"/>
    <w:pPr>
      <w:numPr>
        <w:ilvl w:val="3"/>
      </w:numPr>
      <w:spacing w:before="0" w:after="0"/>
      <w:jc w:val="left"/>
      <w:outlineLvl w:val="3"/>
    </w:pPr>
    <w:rPr>
      <w:b w:val="0"/>
    </w:rPr>
  </w:style>
  <w:style w:type="paragraph" w:customStyle="1" w:styleId="152">
    <w:name w:val="工程建设表标题"/>
    <w:basedOn w:val="151"/>
    <w:qFormat/>
    <w:uiPriority w:val="0"/>
    <w:pPr>
      <w:numPr>
        <w:ilvl w:val="4"/>
      </w:numPr>
      <w:jc w:val="center"/>
      <w:outlineLvl w:val="4"/>
    </w:pPr>
  </w:style>
  <w:style w:type="paragraph" w:customStyle="1" w:styleId="153">
    <w:name w:val="工程建设图标题"/>
    <w:basedOn w:val="151"/>
    <w:qFormat/>
    <w:uiPriority w:val="0"/>
    <w:pPr>
      <w:numPr>
        <w:ilvl w:val="5"/>
      </w:numPr>
      <w:jc w:val="center"/>
      <w:outlineLvl w:val="5"/>
    </w:pPr>
  </w:style>
  <w:style w:type="paragraph" w:customStyle="1" w:styleId="154">
    <w:name w:val="工程建设公式标题"/>
    <w:basedOn w:val="151"/>
    <w:qFormat/>
    <w:uiPriority w:val="0"/>
    <w:pPr>
      <w:numPr>
        <w:ilvl w:val="6"/>
      </w:numPr>
      <w:jc w:val="center"/>
      <w:outlineLvl w:val="6"/>
    </w:pPr>
  </w:style>
  <w:style w:type="paragraph" w:customStyle="1" w:styleId="155">
    <w:name w:val="工程建设无节条标题"/>
    <w:basedOn w:val="1"/>
    <w:next w:val="93"/>
    <w:qFormat/>
    <w:uiPriority w:val="0"/>
    <w:pPr>
      <w:numPr>
        <w:ilvl w:val="8"/>
        <w:numId w:val="19"/>
      </w:numPr>
      <w:tabs>
        <w:tab w:val="clear" w:pos="720"/>
      </w:tabs>
      <w:outlineLvl w:val="3"/>
    </w:pPr>
    <w:rPr>
      <w:szCs w:val="24"/>
    </w:rPr>
  </w:style>
  <w:style w:type="paragraph" w:customStyle="1" w:styleId="156">
    <w:name w:val="工程建设款标题"/>
    <w:basedOn w:val="151"/>
    <w:qFormat/>
    <w:uiPriority w:val="0"/>
    <w:pPr>
      <w:numPr>
        <w:ilvl w:val="7"/>
      </w:numPr>
      <w:outlineLvl w:val="9"/>
    </w:pPr>
  </w:style>
  <w:style w:type="paragraph" w:customStyle="1" w:styleId="157">
    <w:name w:val="名称"/>
    <w:basedOn w:val="91"/>
    <w:next w:val="93"/>
    <w:qFormat/>
    <w:uiPriority w:val="0"/>
    <w:pPr>
      <w:spacing w:line="460" w:lineRule="exact"/>
      <w:outlineLvl w:val="9"/>
    </w:pPr>
  </w:style>
  <w:style w:type="paragraph" w:customStyle="1" w:styleId="158">
    <w:name w:val="正文表标题续表"/>
    <w:basedOn w:val="112"/>
    <w:next w:val="93"/>
    <w:qFormat/>
    <w:uiPriority w:val="0"/>
    <w:pPr>
      <w:numPr>
        <w:ilvl w:val="2"/>
      </w:numPr>
    </w:pPr>
    <w:rPr>
      <w:b w:val="0"/>
    </w:rPr>
  </w:style>
  <w:style w:type="paragraph" w:customStyle="1" w:styleId="159">
    <w:name w:val="附录表标题续表"/>
    <w:basedOn w:val="111"/>
    <w:next w:val="93"/>
    <w:qFormat/>
    <w:uiPriority w:val="0"/>
    <w:pPr>
      <w:numPr>
        <w:numId w:val="20"/>
      </w:numPr>
      <w:tabs>
        <w:tab w:val="left" w:pos="360"/>
      </w:tabs>
    </w:pPr>
    <w:rPr>
      <w:b w:val="0"/>
    </w:rPr>
  </w:style>
  <w:style w:type="paragraph" w:customStyle="1" w:styleId="160">
    <w:name w:val="术语定义条标题"/>
    <w:basedOn w:val="94"/>
    <w:next w:val="93"/>
    <w:qFormat/>
    <w:uiPriority w:val="0"/>
    <w:pPr>
      <w:numPr>
        <w:ilvl w:val="0"/>
        <w:numId w:val="21"/>
      </w:numPr>
      <w:tabs>
        <w:tab w:val="left" w:pos="312"/>
        <w:tab w:val="clear" w:pos="360"/>
      </w:tabs>
      <w:spacing w:beforeLines="0" w:afterLines="0"/>
      <w:ind w:left="312" w:hanging="132"/>
      <w:jc w:val="left"/>
      <w:outlineLvl w:val="9"/>
    </w:pPr>
  </w:style>
  <w:style w:type="paragraph" w:customStyle="1" w:styleId="161">
    <w:name w:val="术语定义二级条标题"/>
    <w:basedOn w:val="160"/>
    <w:next w:val="93"/>
    <w:qFormat/>
    <w:uiPriority w:val="0"/>
    <w:pPr>
      <w:numPr>
        <w:ilvl w:val="1"/>
      </w:numPr>
      <w:tabs>
        <w:tab w:val="left" w:pos="1020"/>
      </w:tabs>
      <w:ind w:left="1020" w:hanging="420"/>
    </w:pPr>
  </w:style>
  <w:style w:type="paragraph" w:customStyle="1" w:styleId="162">
    <w:name w:val="式中"/>
    <w:next w:val="93"/>
    <w:qFormat/>
    <w:uiPriority w:val="0"/>
    <w:pPr>
      <w:numPr>
        <w:ilvl w:val="0"/>
        <w:numId w:val="22"/>
      </w:numPr>
      <w:tabs>
        <w:tab w:val="left" w:pos="210"/>
        <w:tab w:val="clear" w:pos="918"/>
      </w:tabs>
    </w:pPr>
    <w:rPr>
      <w:rFonts w:ascii="宋体" w:hAnsi="Times New Roman" w:eastAsia="宋体" w:cs="Times New Roman"/>
      <w:sz w:val="18"/>
      <w:lang w:val="en-US" w:eastAsia="zh-CN" w:bidi="ar-SA"/>
    </w:rPr>
  </w:style>
  <w:style w:type="paragraph" w:customStyle="1" w:styleId="163">
    <w:name w:val="术语定义三级条标题"/>
    <w:basedOn w:val="160"/>
    <w:next w:val="93"/>
    <w:qFormat/>
    <w:uiPriority w:val="0"/>
    <w:pPr>
      <w:numPr>
        <w:ilvl w:val="2"/>
      </w:numPr>
      <w:tabs>
        <w:tab w:val="left" w:pos="1440"/>
      </w:tabs>
      <w:ind w:left="1440" w:hanging="420"/>
    </w:pPr>
  </w:style>
  <w:style w:type="paragraph" w:customStyle="1" w:styleId="164">
    <w:name w:val="术语定义四级条标题"/>
    <w:basedOn w:val="160"/>
    <w:next w:val="93"/>
    <w:qFormat/>
    <w:uiPriority w:val="0"/>
    <w:pPr>
      <w:numPr>
        <w:ilvl w:val="3"/>
      </w:numPr>
      <w:tabs>
        <w:tab w:val="left" w:pos="1860"/>
      </w:tabs>
      <w:ind w:left="1860" w:hanging="420"/>
    </w:pPr>
  </w:style>
  <w:style w:type="paragraph" w:customStyle="1" w:styleId="165">
    <w:name w:val="术语定义五级条标题"/>
    <w:basedOn w:val="94"/>
    <w:next w:val="93"/>
    <w:qFormat/>
    <w:uiPriority w:val="0"/>
    <w:pPr>
      <w:numPr>
        <w:ilvl w:val="4"/>
        <w:numId w:val="21"/>
      </w:numPr>
      <w:tabs>
        <w:tab w:val="left" w:pos="2280"/>
        <w:tab w:val="clear" w:pos="1440"/>
      </w:tabs>
      <w:spacing w:beforeLines="0" w:afterLines="0"/>
      <w:ind w:left="2280" w:hanging="420"/>
      <w:outlineLvl w:val="9"/>
    </w:pPr>
  </w:style>
  <w:style w:type="paragraph" w:customStyle="1" w:styleId="166">
    <w:name w:val="条文说明"/>
    <w:basedOn w:val="157"/>
    <w:qFormat/>
    <w:uiPriority w:val="0"/>
  </w:style>
  <w:style w:type="paragraph" w:customStyle="1" w:styleId="167">
    <w:name w:val="Char Char Char Char Char Char Char Char Char Char Char Char Char Char Char Char Char Char Char Char Char1 Char Char"/>
    <w:basedOn w:val="1"/>
    <w:qFormat/>
    <w:uiPriority w:val="0"/>
    <w:pPr>
      <w:numPr>
        <w:ilvl w:val="0"/>
        <w:numId w:val="23"/>
      </w:numPr>
      <w:tabs>
        <w:tab w:val="clear" w:pos="1200"/>
      </w:tabs>
      <w:spacing w:line="360" w:lineRule="auto"/>
      <w:ind w:left="0" w:leftChars="0" w:firstLine="0" w:firstLineChars="0"/>
    </w:pPr>
    <w:rPr>
      <w:rFonts w:ascii="Tahoma" w:hAnsi="Tahoma"/>
      <w:sz w:val="24"/>
    </w:rPr>
  </w:style>
  <w:style w:type="character" w:customStyle="1" w:styleId="168">
    <w:name w:val="纯文本 Char"/>
    <w:link w:val="27"/>
    <w:qFormat/>
    <w:locked/>
    <w:uiPriority w:val="0"/>
    <w:rPr>
      <w:rFonts w:ascii="宋体" w:hAnsi="Courier New" w:cs="Courier New"/>
      <w:kern w:val="2"/>
      <w:sz w:val="21"/>
      <w:szCs w:val="21"/>
    </w:rPr>
  </w:style>
  <w:style w:type="paragraph" w:customStyle="1" w:styleId="169">
    <w:name w:val="ANNEX_title"/>
    <w:basedOn w:val="1"/>
    <w:next w:val="170"/>
    <w:semiHidden/>
    <w:qFormat/>
    <w:uiPriority w:val="0"/>
    <w:pPr>
      <w:pageBreakBefore/>
      <w:widowControl/>
      <w:snapToGrid w:val="0"/>
      <w:spacing w:after="200"/>
      <w:jc w:val="center"/>
      <w:outlineLvl w:val="0"/>
    </w:pPr>
    <w:rPr>
      <w:rFonts w:ascii="Arial" w:hAnsi="Arial" w:cs="Arial"/>
      <w:b/>
      <w:bCs/>
      <w:spacing w:val="8"/>
      <w:kern w:val="0"/>
      <w:sz w:val="24"/>
      <w:szCs w:val="24"/>
      <w:lang w:val="en-GB"/>
    </w:rPr>
  </w:style>
  <w:style w:type="paragraph" w:customStyle="1" w:styleId="170">
    <w:name w:val="ANNEX-heading1"/>
    <w:basedOn w:val="2"/>
    <w:next w:val="1"/>
    <w:semiHidden/>
    <w:qFormat/>
    <w:uiPriority w:val="0"/>
    <w:pPr>
      <w:keepLines w:val="0"/>
      <w:tabs>
        <w:tab w:val="left" w:pos="360"/>
        <w:tab w:val="left" w:pos="680"/>
      </w:tabs>
      <w:suppressAutoHyphens/>
      <w:snapToGrid w:val="0"/>
      <w:spacing w:before="200" w:after="200"/>
      <w:ind w:left="680" w:hanging="680"/>
      <w:outlineLvl w:val="1"/>
    </w:pPr>
    <w:rPr>
      <w:rFonts w:ascii="Arial" w:hAnsi="Arial" w:cs="Arial"/>
      <w:bCs/>
      <w:spacing w:val="8"/>
      <w:kern w:val="0"/>
      <w:sz w:val="22"/>
      <w:szCs w:val="22"/>
      <w:lang w:val="en-GB"/>
    </w:rPr>
  </w:style>
  <w:style w:type="paragraph" w:customStyle="1" w:styleId="171">
    <w:name w:val="ANNEX-heading2"/>
    <w:basedOn w:val="3"/>
    <w:next w:val="1"/>
    <w:semiHidden/>
    <w:qFormat/>
    <w:uiPriority w:val="0"/>
    <w:pPr>
      <w:keepLines w:val="0"/>
      <w:widowControl/>
      <w:tabs>
        <w:tab w:val="left" w:pos="907"/>
        <w:tab w:val="clear" w:pos="360"/>
      </w:tabs>
      <w:suppressAutoHyphens/>
      <w:snapToGrid w:val="0"/>
      <w:spacing w:before="100" w:after="100" w:line="240" w:lineRule="auto"/>
      <w:ind w:left="907" w:hanging="907"/>
      <w:jc w:val="left"/>
      <w:outlineLvl w:val="2"/>
    </w:pPr>
    <w:rPr>
      <w:rFonts w:eastAsia="宋体" w:cs="Arial"/>
      <w:bCs/>
      <w:spacing w:val="8"/>
      <w:kern w:val="0"/>
      <w:sz w:val="20"/>
      <w:lang w:val="en-GB"/>
    </w:rPr>
  </w:style>
  <w:style w:type="paragraph" w:customStyle="1" w:styleId="172">
    <w:name w:val="ANNEX-heading3"/>
    <w:basedOn w:val="5"/>
    <w:next w:val="1"/>
    <w:semiHidden/>
    <w:qFormat/>
    <w:uiPriority w:val="0"/>
    <w:pPr>
      <w:keepLines w:val="0"/>
      <w:widowControl/>
      <w:tabs>
        <w:tab w:val="left" w:pos="1134"/>
        <w:tab w:val="clear" w:pos="720"/>
      </w:tabs>
      <w:suppressAutoHyphens/>
      <w:snapToGrid w:val="0"/>
      <w:spacing w:before="100" w:after="100" w:line="240" w:lineRule="auto"/>
      <w:ind w:left="1134" w:hanging="1134"/>
      <w:jc w:val="left"/>
      <w:outlineLvl w:val="3"/>
    </w:pPr>
    <w:rPr>
      <w:rFonts w:ascii="Arial" w:hAnsi="Arial" w:cs="Arial"/>
      <w:spacing w:val="8"/>
      <w:kern w:val="0"/>
      <w:sz w:val="20"/>
      <w:szCs w:val="20"/>
      <w:lang w:val="en-GB"/>
    </w:rPr>
  </w:style>
  <w:style w:type="paragraph" w:customStyle="1" w:styleId="173">
    <w:name w:val="标题1"/>
    <w:basedOn w:val="1"/>
    <w:qFormat/>
    <w:uiPriority w:val="0"/>
    <w:pPr>
      <w:numPr>
        <w:ilvl w:val="0"/>
        <w:numId w:val="24"/>
      </w:numPr>
      <w:spacing w:beforeLines="100" w:afterLines="50"/>
      <w:outlineLvl w:val="0"/>
    </w:pPr>
    <w:rPr>
      <w:rFonts w:ascii="宋体" w:hAnsi="宋体"/>
      <w:b/>
      <w:color w:val="000000"/>
      <w:szCs w:val="21"/>
    </w:rPr>
  </w:style>
  <w:style w:type="paragraph" w:customStyle="1" w:styleId="174">
    <w:name w:val="标题2"/>
    <w:basedOn w:val="145"/>
    <w:qFormat/>
    <w:uiPriority w:val="0"/>
    <w:pPr>
      <w:numPr>
        <w:ilvl w:val="1"/>
        <w:numId w:val="24"/>
      </w:numPr>
      <w:tabs>
        <w:tab w:val="left" w:pos="546"/>
        <w:tab w:val="clear" w:pos="630"/>
      </w:tabs>
      <w:spacing w:line="440" w:lineRule="atLeast"/>
      <w:outlineLvl w:val="1"/>
    </w:pPr>
    <w:rPr>
      <w:rFonts w:hAnsi="宋体"/>
      <w:color w:val="000000"/>
      <w:sz w:val="21"/>
      <w:szCs w:val="21"/>
    </w:rPr>
  </w:style>
  <w:style w:type="paragraph" w:customStyle="1" w:styleId="175">
    <w:name w:val="标题3"/>
    <w:basedOn w:val="27"/>
    <w:qFormat/>
    <w:uiPriority w:val="0"/>
    <w:pPr>
      <w:numPr>
        <w:ilvl w:val="2"/>
        <w:numId w:val="24"/>
      </w:numPr>
      <w:tabs>
        <w:tab w:val="left" w:pos="840"/>
      </w:tabs>
      <w:spacing w:line="440" w:lineRule="atLeast"/>
      <w:outlineLvl w:val="2"/>
    </w:pPr>
    <w:rPr>
      <w:szCs w:val="20"/>
    </w:rPr>
  </w:style>
  <w:style w:type="character" w:customStyle="1" w:styleId="176">
    <w:name w:val="正文文本 Char"/>
    <w:qFormat/>
    <w:uiPriority w:val="0"/>
    <w:rPr>
      <w:rFonts w:ascii="Tahoma" w:hAnsi="Tahoma" w:eastAsia="宋体"/>
      <w:kern w:val="2"/>
      <w:sz w:val="21"/>
      <w:szCs w:val="24"/>
      <w:lang w:val="en-US" w:eastAsia="zh-CN" w:bidi="ar-SA"/>
    </w:rPr>
  </w:style>
  <w:style w:type="character" w:customStyle="1" w:styleId="177">
    <w:name w:val="正文文本 Char1"/>
    <w:link w:val="20"/>
    <w:qFormat/>
    <w:uiPriority w:val="0"/>
    <w:rPr>
      <w:kern w:val="2"/>
      <w:sz w:val="24"/>
      <w:szCs w:val="24"/>
    </w:rPr>
  </w:style>
  <w:style w:type="character" w:customStyle="1" w:styleId="178">
    <w:name w:val="正文首行缩进 Char"/>
    <w:link w:val="47"/>
    <w:qFormat/>
    <w:uiPriority w:val="0"/>
    <w:rPr>
      <w:rFonts w:ascii="Tahoma" w:hAnsi="Tahoma"/>
      <w:kern w:val="2"/>
      <w:sz w:val="21"/>
      <w:szCs w:val="24"/>
    </w:rPr>
  </w:style>
  <w:style w:type="character" w:customStyle="1" w:styleId="179">
    <w:name w:val="章标题 Char"/>
    <w:link w:val="94"/>
    <w:qFormat/>
    <w:uiPriority w:val="0"/>
    <w:rPr>
      <w:rFonts w:ascii="黑体" w:eastAsia="黑体"/>
      <w:b/>
      <w:sz w:val="21"/>
    </w:rPr>
  </w:style>
  <w:style w:type="character" w:customStyle="1" w:styleId="180">
    <w:name w:val="一级条标题 Char"/>
    <w:link w:val="95"/>
    <w:qFormat/>
    <w:uiPriority w:val="0"/>
    <w:rPr>
      <w:rFonts w:ascii="黑体" w:eastAsia="黑体"/>
      <w:b/>
      <w:sz w:val="21"/>
      <w:lang w:val="zh-CN"/>
    </w:rPr>
  </w:style>
  <w:style w:type="character" w:customStyle="1" w:styleId="181">
    <w:name w:val="klein"/>
    <w:qFormat/>
    <w:uiPriority w:val="0"/>
    <w:rPr>
      <w:sz w:val="16"/>
    </w:rPr>
  </w:style>
  <w:style w:type="character" w:customStyle="1" w:styleId="182">
    <w:name w:val="尾注文本 Char"/>
    <w:link w:val="31"/>
    <w:qFormat/>
    <w:uiPriority w:val="0"/>
    <w:rPr>
      <w:rFonts w:ascii="Arial" w:hAnsi="Arial"/>
      <w:lang w:val="en-GB" w:eastAsia="en-US"/>
    </w:rPr>
  </w:style>
  <w:style w:type="character" w:customStyle="1" w:styleId="183">
    <w:name w:val="正文文本 3 Char"/>
    <w:link w:val="19"/>
    <w:qFormat/>
    <w:uiPriority w:val="0"/>
    <w:rPr>
      <w:rFonts w:ascii="Arial" w:hAnsi="Arial"/>
      <w:lang w:val="en-GB" w:eastAsia="en-US"/>
    </w:rPr>
  </w:style>
  <w:style w:type="paragraph" w:customStyle="1" w:styleId="184">
    <w:name w:val="KEMA Heading 1"/>
    <w:basedOn w:val="1"/>
    <w:next w:val="1"/>
    <w:qFormat/>
    <w:uiPriority w:val="0"/>
    <w:pPr>
      <w:widowControl/>
      <w:numPr>
        <w:ilvl w:val="0"/>
        <w:numId w:val="25"/>
      </w:numPr>
      <w:tabs>
        <w:tab w:val="left" w:pos="1049"/>
        <w:tab w:val="left" w:pos="1326"/>
        <w:tab w:val="left" w:pos="7920"/>
      </w:tabs>
      <w:spacing w:line="286" w:lineRule="auto"/>
      <w:outlineLvl w:val="0"/>
    </w:pPr>
    <w:rPr>
      <w:rFonts w:ascii="Arial" w:hAnsi="Arial"/>
      <w:b/>
      <w:caps/>
      <w:kern w:val="0"/>
      <w:sz w:val="20"/>
      <w:lang w:val="en-GB" w:eastAsia="en-US"/>
    </w:rPr>
  </w:style>
  <w:style w:type="character" w:customStyle="1" w:styleId="185">
    <w:name w:val="正文文本 2 Char"/>
    <w:link w:val="43"/>
    <w:uiPriority w:val="0"/>
    <w:rPr>
      <w:rFonts w:ascii="Arial" w:hAnsi="Arial"/>
      <w:lang w:val="en-GB" w:eastAsia="en-US"/>
    </w:rPr>
  </w:style>
  <w:style w:type="paragraph" w:customStyle="1" w:styleId="186">
    <w:name w:val="Texte"/>
    <w:basedOn w:val="1"/>
    <w:qFormat/>
    <w:uiPriority w:val="0"/>
    <w:pPr>
      <w:widowControl/>
      <w:spacing w:before="80"/>
      <w:ind w:left="1138"/>
    </w:pPr>
    <w:rPr>
      <w:rFonts w:ascii="Arial" w:hAnsi="Arial"/>
      <w:kern w:val="0"/>
      <w:sz w:val="20"/>
      <w:lang w:val="en-GB" w:eastAsia="en-US"/>
    </w:rPr>
  </w:style>
  <w:style w:type="character" w:customStyle="1" w:styleId="187">
    <w:name w:val="正文文本缩进 2 Char"/>
    <w:link w:val="30"/>
    <w:qFormat/>
    <w:uiPriority w:val="0"/>
    <w:rPr>
      <w:rFonts w:ascii="Arial" w:hAnsi="Arial"/>
      <w:lang w:val="en-GB" w:eastAsia="en-US"/>
    </w:rPr>
  </w:style>
  <w:style w:type="paragraph" w:customStyle="1" w:styleId="188">
    <w:name w:val="KEMA Heading 2"/>
    <w:basedOn w:val="3"/>
    <w:qFormat/>
    <w:uiPriority w:val="0"/>
    <w:pPr>
      <w:keepLines w:val="0"/>
      <w:widowControl/>
      <w:numPr>
        <w:numId w:val="25"/>
      </w:numPr>
      <w:tabs>
        <w:tab w:val="left" w:pos="132"/>
        <w:tab w:val="left" w:pos="840"/>
        <w:tab w:val="left" w:pos="1326"/>
        <w:tab w:val="left" w:pos="4082"/>
        <w:tab w:val="left" w:pos="7920"/>
      </w:tabs>
      <w:spacing w:before="0" w:after="0" w:line="288" w:lineRule="auto"/>
      <w:jc w:val="left"/>
    </w:pPr>
    <w:rPr>
      <w:rFonts w:eastAsia="宋体"/>
      <w:b w:val="0"/>
      <w:kern w:val="0"/>
      <w:sz w:val="21"/>
      <w:lang w:val="en-GB" w:eastAsia="en-US"/>
    </w:rPr>
  </w:style>
  <w:style w:type="paragraph" w:customStyle="1" w:styleId="189">
    <w:name w:val="KEMA Heading 3"/>
    <w:basedOn w:val="5"/>
    <w:next w:val="1"/>
    <w:qFormat/>
    <w:uiPriority w:val="0"/>
    <w:pPr>
      <w:keepLines w:val="0"/>
      <w:widowControl/>
      <w:numPr>
        <w:numId w:val="25"/>
      </w:numPr>
      <w:tabs>
        <w:tab w:val="left" w:pos="132"/>
        <w:tab w:val="left" w:pos="1260"/>
        <w:tab w:val="clear" w:pos="720"/>
      </w:tabs>
      <w:spacing w:before="0" w:after="0" w:line="288" w:lineRule="auto"/>
      <w:jc w:val="left"/>
    </w:pPr>
    <w:rPr>
      <w:rFonts w:ascii="Arial" w:hAnsi="Arial"/>
      <w:b w:val="0"/>
      <w:bCs w:val="0"/>
      <w:kern w:val="0"/>
      <w:sz w:val="20"/>
      <w:szCs w:val="20"/>
      <w:lang w:val="en-GB" w:eastAsia="en-US"/>
    </w:rPr>
  </w:style>
  <w:style w:type="paragraph" w:customStyle="1" w:styleId="190">
    <w:name w:val="Text"/>
    <w:basedOn w:val="1"/>
    <w:qFormat/>
    <w:uiPriority w:val="0"/>
    <w:pPr>
      <w:widowControl/>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pPr>
    <w:rPr>
      <w:rFonts w:ascii="Swiss" w:hAnsi="Swiss"/>
      <w:kern w:val="0"/>
      <w:sz w:val="20"/>
      <w:lang w:val="en-GB" w:eastAsia="en-US"/>
    </w:rPr>
  </w:style>
  <w:style w:type="paragraph" w:customStyle="1" w:styleId="191">
    <w:name w:val="N Abs"/>
    <w:qFormat/>
    <w:uiPriority w:val="0"/>
    <w:pPr>
      <w:tabs>
        <w:tab w:val="left" w:pos="1134"/>
      </w:tabs>
      <w:spacing w:after="140"/>
      <w:jc w:val="both"/>
    </w:pPr>
    <w:rPr>
      <w:rFonts w:ascii="Helv" w:hAnsi="Helv" w:eastAsia="宋体" w:cs="Times New Roman"/>
      <w:spacing w:val="5"/>
      <w:sz w:val="19"/>
      <w:lang w:val="de-DE" w:eastAsia="en-US" w:bidi="ar-SA"/>
    </w:rPr>
  </w:style>
  <w:style w:type="paragraph" w:customStyle="1" w:styleId="192">
    <w:name w:val="BILD"/>
    <w:basedOn w:val="1"/>
    <w:qFormat/>
    <w:uiPriority w:val="0"/>
    <w:pPr>
      <w:widowControl/>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pPr>
    <w:rPr>
      <w:rFonts w:ascii="Thames" w:hAnsi="Thames"/>
      <w:kern w:val="0"/>
      <w:sz w:val="20"/>
      <w:lang w:val="en-GB" w:eastAsia="en-US"/>
    </w:rPr>
  </w:style>
  <w:style w:type="paragraph" w:customStyle="1" w:styleId="193">
    <w:name w:val="TÜ"/>
    <w:basedOn w:val="191"/>
    <w:qFormat/>
    <w:uiPriority w:val="0"/>
    <w:pPr>
      <w:spacing w:before="120" w:after="120"/>
      <w:jc w:val="left"/>
    </w:pPr>
    <w:rPr>
      <w:b/>
      <w:sz w:val="20"/>
    </w:rPr>
  </w:style>
  <w:style w:type="paragraph" w:customStyle="1" w:styleId="194">
    <w:name w:val="UEBER"/>
    <w:basedOn w:val="1"/>
    <w:qFormat/>
    <w:uiPriority w:val="0"/>
    <w:pPr>
      <w:widowControl/>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pPr>
    <w:rPr>
      <w:rFonts w:ascii="Swiss" w:hAnsi="Swiss"/>
      <w:b/>
      <w:kern w:val="0"/>
      <w:sz w:val="20"/>
      <w:lang w:val="en-GB" w:eastAsia="en-US"/>
    </w:rPr>
  </w:style>
  <w:style w:type="paragraph" w:customStyle="1" w:styleId="195">
    <w:name w:val="TITLE-SHEET"/>
    <w:basedOn w:val="1"/>
    <w:qFormat/>
    <w:uiPriority w:val="0"/>
    <w:pPr>
      <w:widowControl/>
      <w:jc w:val="center"/>
    </w:pPr>
    <w:rPr>
      <w:rFonts w:ascii="Arial" w:hAnsi="Arial"/>
      <w:b/>
      <w:kern w:val="0"/>
      <w:sz w:val="20"/>
      <w:lang w:val="en-GB" w:eastAsia="en-US"/>
    </w:rPr>
  </w:style>
  <w:style w:type="paragraph" w:customStyle="1" w:styleId="196">
    <w:name w:val="URS"/>
    <w:basedOn w:val="1"/>
    <w:qFormat/>
    <w:uiPriority w:val="0"/>
    <w:pPr>
      <w:widowControl/>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pPr>
    <w:rPr>
      <w:rFonts w:ascii="Swiss" w:hAnsi="Swiss"/>
      <w:kern w:val="0"/>
      <w:sz w:val="16"/>
      <w:lang w:val="en-GB" w:eastAsia="en-US"/>
    </w:rPr>
  </w:style>
  <w:style w:type="paragraph" w:customStyle="1" w:styleId="197">
    <w:name w:val="TABLE-cell"/>
    <w:basedOn w:val="1"/>
    <w:qFormat/>
    <w:uiPriority w:val="0"/>
    <w:pPr>
      <w:widowControl/>
      <w:spacing w:before="60" w:after="60"/>
      <w:jc w:val="left"/>
    </w:pPr>
    <w:rPr>
      <w:rFonts w:ascii="Arial" w:hAnsi="Arial"/>
      <w:spacing w:val="8"/>
      <w:kern w:val="0"/>
      <w:sz w:val="16"/>
      <w:lang w:val="en-GB"/>
    </w:rPr>
  </w:style>
  <w:style w:type="paragraph" w:customStyle="1" w:styleId="198">
    <w:name w:val="PARAGRAPH"/>
    <w:qFormat/>
    <w:uiPriority w:val="0"/>
    <w:pPr>
      <w:spacing w:before="100" w:after="200"/>
      <w:jc w:val="both"/>
    </w:pPr>
    <w:rPr>
      <w:rFonts w:ascii="Arial" w:hAnsi="Arial" w:eastAsia="宋体" w:cs="Times New Roman"/>
      <w:spacing w:val="8"/>
      <w:lang w:val="en-GB" w:eastAsia="zh-CN" w:bidi="ar-SA"/>
    </w:rPr>
  </w:style>
  <w:style w:type="paragraph" w:customStyle="1" w:styleId="199">
    <w:name w:val="Standard.PARAGRAPH"/>
    <w:qFormat/>
    <w:uiPriority w:val="0"/>
    <w:pPr>
      <w:tabs>
        <w:tab w:val="center" w:pos="4536"/>
        <w:tab w:val="right" w:pos="9072"/>
      </w:tabs>
      <w:spacing w:before="100" w:after="100"/>
    </w:pPr>
    <w:rPr>
      <w:rFonts w:ascii="Arial" w:hAnsi="Arial" w:eastAsia="宋体" w:cs="Times New Roman"/>
      <w:spacing w:val="8"/>
      <w:lang w:val="en-GB" w:eastAsia="zh-CN" w:bidi="ar-SA"/>
    </w:rPr>
  </w:style>
  <w:style w:type="paragraph" w:customStyle="1" w:styleId="200">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01">
    <w:name w:val="CM7"/>
    <w:basedOn w:val="200"/>
    <w:next w:val="200"/>
    <w:qFormat/>
    <w:uiPriority w:val="0"/>
    <w:pPr>
      <w:spacing w:line="313" w:lineRule="atLeast"/>
    </w:pPr>
    <w:rPr>
      <w:rFonts w:cs="Times New Roman"/>
      <w:color w:val="auto"/>
    </w:rPr>
  </w:style>
  <w:style w:type="paragraph" w:customStyle="1" w:styleId="202">
    <w:name w:val="CM8"/>
    <w:basedOn w:val="200"/>
    <w:next w:val="200"/>
    <w:qFormat/>
    <w:uiPriority w:val="0"/>
    <w:pPr>
      <w:spacing w:line="313" w:lineRule="atLeast"/>
    </w:pPr>
    <w:rPr>
      <w:rFonts w:cs="Times New Roman"/>
      <w:color w:val="auto"/>
    </w:rPr>
  </w:style>
  <w:style w:type="paragraph" w:customStyle="1" w:styleId="203">
    <w:name w:val="CM33"/>
    <w:basedOn w:val="200"/>
    <w:next w:val="200"/>
    <w:qFormat/>
    <w:uiPriority w:val="0"/>
    <w:pPr>
      <w:spacing w:line="313" w:lineRule="atLeast"/>
    </w:pPr>
    <w:rPr>
      <w:rFonts w:cs="Times New Roman"/>
      <w:color w:val="auto"/>
    </w:rPr>
  </w:style>
  <w:style w:type="paragraph" w:customStyle="1" w:styleId="204">
    <w:name w:val="CM58"/>
    <w:basedOn w:val="200"/>
    <w:next w:val="200"/>
    <w:qFormat/>
    <w:uiPriority w:val="0"/>
    <w:pPr>
      <w:spacing w:after="298"/>
    </w:pPr>
    <w:rPr>
      <w:rFonts w:cs="Times New Roman"/>
      <w:color w:val="auto"/>
    </w:rPr>
  </w:style>
  <w:style w:type="character" w:customStyle="1" w:styleId="205">
    <w:name w:val="标题 1 Char"/>
    <w:qFormat/>
    <w:uiPriority w:val="0"/>
    <w:rPr>
      <w:rFonts w:ascii="Arial" w:hAnsi="Arial" w:eastAsia="宋体"/>
      <w:b/>
      <w:caps/>
      <w:kern w:val="20"/>
      <w:sz w:val="21"/>
      <w:lang w:val="en-GB" w:eastAsia="en-US" w:bidi="ar-SA"/>
    </w:rPr>
  </w:style>
  <w:style w:type="character" w:customStyle="1" w:styleId="206">
    <w:name w:val="标题 2 Char"/>
    <w:link w:val="3"/>
    <w:qFormat/>
    <w:uiPriority w:val="0"/>
    <w:rPr>
      <w:rFonts w:ascii="Arial" w:hAnsi="Arial" w:eastAsia="黑体"/>
      <w:b/>
      <w:kern w:val="2"/>
      <w:sz w:val="32"/>
      <w:lang w:val="zh-CN"/>
    </w:rPr>
  </w:style>
  <w:style w:type="paragraph" w:customStyle="1" w:styleId="207">
    <w:name w:val="NOTE"/>
    <w:basedOn w:val="198"/>
    <w:qFormat/>
    <w:uiPriority w:val="0"/>
    <w:pPr>
      <w:tabs>
        <w:tab w:val="left" w:pos="709"/>
        <w:tab w:val="center" w:pos="4536"/>
        <w:tab w:val="right" w:pos="9072"/>
      </w:tabs>
      <w:spacing w:before="0" w:after="100"/>
    </w:pPr>
    <w:rPr>
      <w:rFonts w:ascii="Times New Roman" w:hAnsi="Times New Roman"/>
      <w:sz w:val="16"/>
      <w:szCs w:val="21"/>
      <w:lang w:eastAsia="en-US"/>
    </w:rPr>
  </w:style>
  <w:style w:type="paragraph" w:customStyle="1" w:styleId="208">
    <w:name w:val="TABLE-col-heading"/>
    <w:basedOn w:val="198"/>
    <w:qFormat/>
    <w:uiPriority w:val="0"/>
    <w:pPr>
      <w:spacing w:before="60" w:after="60"/>
      <w:jc w:val="center"/>
    </w:pPr>
    <w:rPr>
      <w:rFonts w:ascii="Times New Roman" w:hAnsi="Times New Roman"/>
      <w:b/>
      <w:sz w:val="16"/>
      <w:szCs w:val="21"/>
      <w:lang w:eastAsia="en-US"/>
    </w:rPr>
  </w:style>
  <w:style w:type="paragraph" w:customStyle="1" w:styleId="209">
    <w:name w:val="样式 标题 2Heading 2*First Level Head + 浅蓝"/>
    <w:basedOn w:val="3"/>
    <w:link w:val="210"/>
    <w:qFormat/>
    <w:uiPriority w:val="0"/>
    <w:pPr>
      <w:keepLines w:val="0"/>
      <w:tabs>
        <w:tab w:val="clear" w:pos="360"/>
      </w:tabs>
      <w:adjustRightInd w:val="0"/>
      <w:spacing w:before="120" w:after="120" w:line="240" w:lineRule="auto"/>
      <w:jc w:val="left"/>
      <w:textAlignment w:val="baseline"/>
    </w:pPr>
    <w:rPr>
      <w:rFonts w:ascii="Times New Roman" w:hAnsi="Times New Roman" w:eastAsia="仿宋_GB2312"/>
      <w:bCs/>
      <w:kern w:val="0"/>
      <w:sz w:val="21"/>
      <w:szCs w:val="21"/>
    </w:rPr>
  </w:style>
  <w:style w:type="character" w:customStyle="1" w:styleId="210">
    <w:name w:val="样式 标题 2Heading 2*First Level Head + 浅蓝 Char"/>
    <w:link w:val="209"/>
    <w:qFormat/>
    <w:uiPriority w:val="0"/>
    <w:rPr>
      <w:rFonts w:eastAsia="仿宋_GB2312"/>
      <w:b/>
      <w:bCs/>
      <w:sz w:val="21"/>
      <w:szCs w:val="21"/>
      <w:lang w:val="zh-CN"/>
    </w:rPr>
  </w:style>
  <w:style w:type="paragraph" w:customStyle="1" w:styleId="211">
    <w:name w:val="默认段落字体 Para Char Char Char Char Char Char1 Char"/>
    <w:basedOn w:val="1"/>
    <w:qFormat/>
    <w:uiPriority w:val="0"/>
    <w:pPr>
      <w:spacing w:line="360" w:lineRule="auto"/>
      <w:ind w:firstLine="630"/>
      <w:textAlignment w:val="top"/>
    </w:pPr>
    <w:rPr>
      <w:rFonts w:ascii="Tahoma" w:hAnsi="Tahoma"/>
      <w:sz w:val="24"/>
    </w:rPr>
  </w:style>
  <w:style w:type="paragraph" w:customStyle="1" w:styleId="212">
    <w:name w:val="TOC 标题1"/>
    <w:basedOn w:val="2"/>
    <w:next w:val="1"/>
    <w:unhideWhenUsed/>
    <w:qFormat/>
    <w:uiPriority w:val="39"/>
    <w:pPr>
      <w:spacing w:after="0" w:line="259" w:lineRule="auto"/>
      <w:outlineLvl w:val="9"/>
    </w:pPr>
    <w:rPr>
      <w:rFonts w:ascii="Calibri Light" w:hAnsi="Calibri Light"/>
      <w:b w:val="0"/>
      <w:color w:val="2E74B5"/>
      <w:kern w:val="0"/>
      <w:sz w:val="32"/>
      <w:szCs w:val="32"/>
    </w:rPr>
  </w:style>
  <w:style w:type="paragraph" w:customStyle="1" w:styleId="213">
    <w:name w:val="_表格条文"/>
    <w:basedOn w:val="1"/>
    <w:qFormat/>
    <w:uiPriority w:val="0"/>
    <w:pPr>
      <w:spacing w:line="276" w:lineRule="auto"/>
    </w:pPr>
    <w:rPr>
      <w:rFonts w:ascii="Arial" w:hAnsi="Arial"/>
      <w:color w:val="000000"/>
      <w:sz w:val="18"/>
      <w:szCs w:val="21"/>
    </w:rPr>
  </w:style>
  <w:style w:type="paragraph" w:customStyle="1" w:styleId="214">
    <w:name w:val="63注"/>
    <w:basedOn w:val="1"/>
    <w:qFormat/>
    <w:uiPriority w:val="0"/>
    <w:pPr>
      <w:numPr>
        <w:ilvl w:val="0"/>
        <w:numId w:val="26"/>
      </w:numPr>
      <w:spacing w:line="288" w:lineRule="auto"/>
    </w:pPr>
    <w:rPr>
      <w:sz w:val="18"/>
      <w:szCs w:val="18"/>
    </w:rPr>
  </w:style>
  <w:style w:type="character" w:customStyle="1" w:styleId="215">
    <w:name w:val="段 Char"/>
    <w:link w:val="93"/>
    <w:qFormat/>
    <w:uiPriority w:val="0"/>
    <w:rPr>
      <w:rFonts w:ascii="宋体"/>
      <w:sz w:val="21"/>
    </w:rPr>
  </w:style>
  <w:style w:type="character" w:customStyle="1" w:styleId="216">
    <w:name w:val="一级条标题 Char Char"/>
    <w:qFormat/>
    <w:uiPriority w:val="0"/>
    <w:rPr>
      <w:rFonts w:ascii="黑体" w:eastAsia="黑体"/>
      <w:sz w:val="21"/>
    </w:rPr>
  </w:style>
  <w:style w:type="character" w:customStyle="1" w:styleId="217">
    <w:name w:val="二级条标题 Char Char"/>
    <w:link w:val="96"/>
    <w:qFormat/>
    <w:uiPriority w:val="0"/>
    <w:rPr>
      <w:rFonts w:ascii="黑体" w:eastAsia="黑体"/>
      <w:b/>
      <w:sz w:val="21"/>
      <w:lang w:val="zh-CN"/>
    </w:rPr>
  </w:style>
  <w:style w:type="character" w:customStyle="1" w:styleId="218">
    <w:name w:val="三级条标题 Char Char"/>
    <w:link w:val="130"/>
    <w:qFormat/>
    <w:uiPriority w:val="0"/>
    <w:rPr>
      <w:rFonts w:ascii="黑体" w:eastAsia="黑体"/>
      <w:b/>
      <w:sz w:val="21"/>
      <w:lang w:val="zh-CN"/>
    </w:rPr>
  </w:style>
  <w:style w:type="character" w:customStyle="1" w:styleId="219">
    <w:name w:val="段 Char Char"/>
    <w:qFormat/>
    <w:uiPriority w:val="0"/>
    <w:rPr>
      <w:rFonts w:ascii="宋体"/>
      <w:sz w:val="21"/>
      <w:lang w:val="en-US" w:eastAsia="zh-CN" w:bidi="ar-SA"/>
    </w:rPr>
  </w:style>
  <w:style w:type="character" w:customStyle="1" w:styleId="220">
    <w:name w:val="font61"/>
    <w:qFormat/>
    <w:uiPriority w:val="0"/>
    <w:rPr>
      <w:rFonts w:hint="eastAsia" w:ascii="宋体" w:hAnsi="宋体" w:eastAsia="宋体" w:cs="宋体"/>
      <w:color w:val="000000"/>
      <w:sz w:val="18"/>
      <w:szCs w:val="18"/>
      <w:u w:val="none"/>
    </w:rPr>
  </w:style>
  <w:style w:type="character" w:customStyle="1" w:styleId="221">
    <w:name w:val="font51"/>
    <w:qFormat/>
    <w:uiPriority w:val="0"/>
    <w:rPr>
      <w:rFonts w:hint="default" w:ascii="Calibri" w:hAnsi="Calibri" w:cs="Calibri"/>
      <w:color w:val="000000"/>
      <w:sz w:val="18"/>
      <w:szCs w:val="18"/>
      <w:u w:val="none"/>
    </w:rPr>
  </w:style>
  <w:style w:type="paragraph" w:styleId="222">
    <w:name w:val="List Paragraph"/>
    <w:basedOn w:val="1"/>
    <w:qFormat/>
    <w:uiPriority w:val="99"/>
    <w:pPr>
      <w:ind w:firstLine="420" w:firstLineChars="200"/>
    </w:pPr>
  </w:style>
  <w:style w:type="character" w:customStyle="1" w:styleId="223">
    <w:name w:val="题注 Char"/>
    <w:link w:val="15"/>
    <w:qFormat/>
    <w:uiPriority w:val="0"/>
    <w:rPr>
      <w:rFonts w:ascii="Cambria" w:hAnsi="Cambria" w:eastAsia="黑体"/>
      <w:kern w:val="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699032-E7CB-4111-BD39-A06D26B7FC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99</Pages>
  <Words>57735</Words>
  <Characters>33786</Characters>
  <Lines>281</Lines>
  <Paragraphs>182</Paragraphs>
  <TotalTime>2</TotalTime>
  <ScaleCrop>false</ScaleCrop>
  <LinksUpToDate>false</LinksUpToDate>
  <CharactersWithSpaces>91339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2020-07-03T07:23:00Z</dcterms:created>
  <dc:creator>马凯</dc:creator>
  <cp:lastModifiedBy>李金</cp:lastModifiedBy>
  <cp:lastPrinted>2017-03-22T00:19:00Z</cp:lastPrinted>
  <dcterms:modified xsi:type="dcterms:W3CDTF">2023-12-14T16:05:33Z</dcterms:modified>
  <dc:title>_x000f_2011年广东电网公司FTU入网测试大纲</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3B4F523D70364BA5AD0A838B44B055F6_12</vt:lpwstr>
  </property>
</Properties>
</file>